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E240DE" w:rsidRDefault="00985D58" w:rsidP="00E240DE">
      <w:pPr>
        <w:spacing w:line="360" w:lineRule="auto"/>
        <w:rPr>
          <w:rFonts w:ascii="Sennheiser Office" w:hAnsi="Sennheiser Office"/>
          <w:sz w:val="18"/>
          <w:szCs w:val="18"/>
        </w:rPr>
      </w:pPr>
    </w:p>
    <w:p w14:paraId="0945F355" w14:textId="77777777" w:rsidR="00F678B8" w:rsidRPr="00E240DE" w:rsidRDefault="00F678B8" w:rsidP="00E240DE">
      <w:pPr>
        <w:spacing w:line="360" w:lineRule="auto"/>
        <w:rPr>
          <w:rFonts w:ascii="Sennheiser Office" w:hAnsi="Sennheiser Office"/>
          <w:b/>
          <w:bCs/>
          <w:color w:val="00B0F0"/>
          <w:sz w:val="18"/>
          <w:szCs w:val="18"/>
        </w:rPr>
      </w:pPr>
    </w:p>
    <w:p w14:paraId="4784B66F" w14:textId="09DD6A16" w:rsidR="008C25D2" w:rsidRPr="00E240DE" w:rsidRDefault="00442F85" w:rsidP="00E240DE">
      <w:pPr>
        <w:spacing w:line="360" w:lineRule="auto"/>
        <w:rPr>
          <w:rFonts w:ascii="Sennheiser Office" w:hAnsi="Sennheiser Office"/>
          <w:b/>
          <w:bCs/>
          <w:color w:val="00B0F0"/>
          <w:sz w:val="18"/>
          <w:szCs w:val="18"/>
          <w:lang w:val="fr-FR"/>
        </w:rPr>
      </w:pPr>
      <w:r w:rsidRPr="00E240DE">
        <w:rPr>
          <w:rFonts w:ascii="Sennheiser Office" w:hAnsi="Sennheiser Office"/>
          <w:b/>
          <w:bCs/>
          <w:color w:val="00B0F0"/>
          <w:sz w:val="18"/>
          <w:szCs w:val="18"/>
          <w:lang w:val="fr-FR"/>
        </w:rPr>
        <w:t>Sennheiser dévoile le TeamConnect Ceiling M Plus</w:t>
      </w:r>
    </w:p>
    <w:p w14:paraId="1A75B1B0" w14:textId="37109FD8" w:rsidR="00442F85" w:rsidRPr="00E240DE" w:rsidRDefault="00442F85" w:rsidP="00E240DE">
      <w:pPr>
        <w:spacing w:line="360" w:lineRule="auto"/>
        <w:rPr>
          <w:rFonts w:ascii="Sennheiser Office" w:hAnsi="Sennheiser Office"/>
          <w:sz w:val="18"/>
          <w:szCs w:val="18"/>
          <w:lang w:val="fr-FR"/>
        </w:rPr>
      </w:pPr>
      <w:r w:rsidRPr="00E240DE">
        <w:rPr>
          <w:rFonts w:ascii="Sennheiser Office" w:hAnsi="Sennheiser Office"/>
          <w:sz w:val="18"/>
          <w:szCs w:val="18"/>
          <w:lang w:val="fr-FR"/>
        </w:rPr>
        <w:t>Le nouveau membre de la famille TeamConnect associe une qualité audio remarquable à un déploiement simplifié, une gestion évolutive et une intégration transparente</w:t>
      </w:r>
    </w:p>
    <w:p w14:paraId="4400FFB3" w14:textId="77777777" w:rsidR="000C61E2" w:rsidRPr="00E240DE" w:rsidRDefault="000C61E2" w:rsidP="00E240DE">
      <w:pPr>
        <w:spacing w:line="360" w:lineRule="auto"/>
        <w:rPr>
          <w:rFonts w:ascii="Sennheiser Office" w:hAnsi="Sennheiser Office"/>
          <w:i/>
          <w:iCs/>
          <w:sz w:val="18"/>
          <w:szCs w:val="18"/>
          <w:lang w:val="fr-FR"/>
        </w:rPr>
      </w:pPr>
    </w:p>
    <w:p w14:paraId="529E76AD" w14:textId="3A46F880" w:rsidR="00442F85" w:rsidRPr="00E240DE" w:rsidRDefault="00442F85" w:rsidP="00E240DE">
      <w:pPr>
        <w:spacing w:line="360" w:lineRule="auto"/>
        <w:rPr>
          <w:rFonts w:ascii="Sennheiser Office" w:hAnsi="Sennheiser Office"/>
          <w:b/>
          <w:bCs/>
          <w:sz w:val="18"/>
          <w:szCs w:val="18"/>
          <w:lang w:val="fr-FR"/>
        </w:rPr>
      </w:pPr>
      <w:r w:rsidRPr="00E240DE">
        <w:rPr>
          <w:rFonts w:ascii="Sennheiser Office" w:hAnsi="Sennheiser Office"/>
          <w:b/>
          <w:bCs/>
          <w:sz w:val="18"/>
          <w:szCs w:val="18"/>
          <w:lang w:val="fr-FR"/>
        </w:rPr>
        <w:t>Paris, France, juin 2026</w:t>
      </w:r>
      <w:r w:rsidR="00E91D0C" w:rsidRPr="00E240DE">
        <w:rPr>
          <w:rFonts w:ascii="Sennheiser Office" w:hAnsi="Sennheiser Office"/>
          <w:b/>
          <w:bCs/>
          <w:sz w:val="18"/>
          <w:szCs w:val="18"/>
          <w:lang w:val="fr-FR"/>
        </w:rPr>
        <w:t xml:space="preserve"> — </w:t>
      </w:r>
      <w:r w:rsidRPr="00E240DE">
        <w:rPr>
          <w:rFonts w:ascii="Sennheiser Office" w:hAnsi="Sennheiser Office"/>
          <w:b/>
          <w:bCs/>
          <w:sz w:val="18"/>
          <w:szCs w:val="18"/>
          <w:lang w:val="fr-FR"/>
        </w:rPr>
        <w:t>Sennheiser, référence des technologies audio avancées qui facilitent la collaboration et l’apprentissage, annonce aujourd’hui le lancement du TeamConnect Ceiling M Plus (TCC M Plus). Ce nouveau microphone de plafond a été conçu pour offrir une expérience utilisateur toujours plus simple et une restitution vocale d’une grande clarté, tout en simplifiant le déploiement et l’exploitation des espaces de collaboration modernes</w:t>
      </w:r>
    </w:p>
    <w:p w14:paraId="572035E1" w14:textId="77777777" w:rsidR="003845B7" w:rsidRPr="00E240DE" w:rsidRDefault="003845B7" w:rsidP="00E240DE">
      <w:pPr>
        <w:spacing w:line="360" w:lineRule="auto"/>
        <w:rPr>
          <w:rFonts w:ascii="Sennheiser Office" w:hAnsi="Sennheiser Office"/>
          <w:b/>
          <w:bCs/>
          <w:sz w:val="18"/>
          <w:szCs w:val="18"/>
          <w:lang w:val="fr-FR"/>
        </w:rPr>
      </w:pPr>
    </w:p>
    <w:p w14:paraId="39CC4C80" w14:textId="4F29AC63" w:rsidR="00F36F38" w:rsidRPr="00E240DE" w:rsidRDefault="00442F85" w:rsidP="00E240DE">
      <w:pPr>
        <w:spacing w:line="360" w:lineRule="auto"/>
        <w:rPr>
          <w:rFonts w:ascii="Sennheiser Office" w:hAnsi="Sennheiser Office"/>
          <w:b/>
          <w:bCs/>
          <w:sz w:val="18"/>
          <w:szCs w:val="18"/>
          <w:lang w:val="fr-FR"/>
        </w:rPr>
      </w:pPr>
      <w:r w:rsidRPr="00E240DE">
        <w:rPr>
          <w:rFonts w:ascii="Sennheiser Office" w:hAnsi="Sennheiser Office"/>
          <w:color w:val="000000"/>
          <w:sz w:val="18"/>
          <w:szCs w:val="18"/>
          <w:lang w:val="fr-FR"/>
        </w:rPr>
        <w:t>Fort du succès de la gamme TeamConnect Ceiling, le</w:t>
      </w:r>
      <w:r w:rsidRPr="00E240DE">
        <w:rPr>
          <w:rStyle w:val="apple-converted-space"/>
          <w:rFonts w:ascii="Sennheiser Office" w:hAnsi="Sennheiser Office"/>
          <w:color w:val="000000"/>
          <w:sz w:val="18"/>
          <w:szCs w:val="18"/>
          <w:lang w:val="fr-FR"/>
        </w:rPr>
        <w:t> </w:t>
      </w:r>
      <w:r w:rsidRPr="00E240DE">
        <w:rPr>
          <w:rStyle w:val="lev"/>
          <w:rFonts w:ascii="Sennheiser Office" w:hAnsi="Sennheiser Office"/>
          <w:color w:val="000000"/>
          <w:sz w:val="18"/>
          <w:szCs w:val="18"/>
          <w:lang w:val="fr-FR"/>
        </w:rPr>
        <w:t>TCC M Plus</w:t>
      </w:r>
      <w:r w:rsidRPr="00E240DE">
        <w:rPr>
          <w:rFonts w:ascii="Sennheiser Office" w:hAnsi="Sennheiser Office"/>
          <w:color w:val="000000"/>
          <w:sz w:val="18"/>
          <w:szCs w:val="18"/>
          <w:lang w:val="fr-FR"/>
        </w:rPr>
        <w:t>, qui sera présenté à l’occasion d’</w:t>
      </w:r>
      <w:proofErr w:type="spellStart"/>
      <w:r w:rsidRPr="00E240DE">
        <w:rPr>
          <w:rFonts w:ascii="Sennheiser Office" w:hAnsi="Sennheiser Office"/>
          <w:color w:val="000000"/>
          <w:sz w:val="18"/>
          <w:szCs w:val="18"/>
          <w:lang w:val="fr-FR"/>
        </w:rPr>
        <w:t>InfoComm</w:t>
      </w:r>
      <w:proofErr w:type="spellEnd"/>
      <w:r w:rsidRPr="00E240DE">
        <w:rPr>
          <w:rFonts w:ascii="Sennheiser Office" w:hAnsi="Sennheiser Office"/>
          <w:color w:val="000000"/>
          <w:sz w:val="18"/>
          <w:szCs w:val="18"/>
          <w:lang w:val="fr-FR"/>
        </w:rPr>
        <w:t xml:space="preserve"> 2026, associe les performances audio reconnues de Sennheiser à une nouvelle génération de fonctionnalités pensées pour réduire les efforts de déploiement, simplifier la configuration des systèmes et accompagner le développement d’environnements audiovisuels évolutifs</w:t>
      </w:r>
      <w:r w:rsidR="00AF2273" w:rsidRPr="00E240DE">
        <w:rPr>
          <w:rFonts w:ascii="Sennheiser Office" w:hAnsi="Sennheiser Office"/>
          <w:sz w:val="18"/>
          <w:szCs w:val="18"/>
          <w:lang w:val="fr-FR"/>
        </w:rPr>
        <w:t>.</w:t>
      </w:r>
      <w:r w:rsidR="00F36F38" w:rsidRPr="00E240DE">
        <w:rPr>
          <w:rFonts w:ascii="Sennheiser Office" w:hAnsi="Sennheiser Office"/>
          <w:sz w:val="18"/>
          <w:szCs w:val="18"/>
          <w:lang w:val="fr-FR"/>
        </w:rPr>
        <w:t xml:space="preserve"> </w:t>
      </w:r>
    </w:p>
    <w:p w14:paraId="57B130AC" w14:textId="77777777" w:rsidR="00A14E6E" w:rsidRPr="00E240DE" w:rsidRDefault="00A14E6E" w:rsidP="00E240DE">
      <w:pPr>
        <w:pStyle w:val="paragraph"/>
        <w:spacing w:before="0" w:beforeAutospacing="0" w:after="0" w:afterAutospacing="0" w:line="360" w:lineRule="auto"/>
        <w:rPr>
          <w:rFonts w:ascii="Sennheiser Office" w:eastAsiaTheme="minorHAnsi" w:hAnsi="Sennheiser Office" w:cstheme="minorBidi"/>
          <w:kern w:val="2"/>
          <w:sz w:val="18"/>
          <w:szCs w:val="18"/>
          <w:lang w:val="fr-FR"/>
        </w:rPr>
      </w:pPr>
    </w:p>
    <w:p w14:paraId="51130A02" w14:textId="5B755A12" w:rsidR="00A77333" w:rsidRPr="00E240DE" w:rsidRDefault="00442F85" w:rsidP="00E240DE">
      <w:pPr>
        <w:pStyle w:val="paragraph"/>
        <w:spacing w:before="0" w:beforeAutospacing="0" w:after="0" w:afterAutospacing="0" w:line="360" w:lineRule="auto"/>
        <w:rPr>
          <w:rFonts w:ascii="Sennheiser Office" w:eastAsiaTheme="minorHAnsi" w:hAnsi="Sennheiser Office" w:cstheme="minorBidi"/>
          <w:b/>
          <w:bCs/>
          <w:kern w:val="2"/>
          <w:sz w:val="18"/>
          <w:szCs w:val="18"/>
          <w:lang w:val="fr-FR"/>
        </w:rPr>
      </w:pPr>
      <w:proofErr w:type="spellStart"/>
      <w:r w:rsidRPr="00E240DE">
        <w:rPr>
          <w:rFonts w:ascii="Sennheiser Office" w:eastAsiaTheme="minorHAnsi" w:hAnsi="Sennheiser Office" w:cstheme="minorBidi"/>
          <w:b/>
          <w:bCs/>
          <w:kern w:val="2"/>
          <w:sz w:val="18"/>
          <w:szCs w:val="18"/>
          <w:lang w:val="fr-FR"/>
        </w:rPr>
        <w:t>PartnerLink</w:t>
      </w:r>
      <w:proofErr w:type="spellEnd"/>
      <w:r w:rsidRPr="00E240DE">
        <w:rPr>
          <w:rFonts w:ascii="Sennheiser Office" w:eastAsiaTheme="minorHAnsi" w:hAnsi="Sennheiser Office" w:cstheme="minorBidi"/>
          <w:b/>
          <w:bCs/>
          <w:kern w:val="2"/>
          <w:sz w:val="18"/>
          <w:szCs w:val="18"/>
          <w:lang w:val="fr-FR"/>
        </w:rPr>
        <w:t xml:space="preserve"> : une nouvelle fonctionnalité pour une configuration simplifiée au sein des principales plateformes AV</w:t>
      </w:r>
    </w:p>
    <w:p w14:paraId="0F045B79" w14:textId="23D7FC63" w:rsidR="00E007CC" w:rsidRPr="00E240DE" w:rsidRDefault="00442F85" w:rsidP="00E240DE">
      <w:pPr>
        <w:pStyle w:val="isselectedend"/>
        <w:spacing w:before="0" w:beforeAutospacing="0" w:after="0" w:afterAutospacing="0" w:line="360" w:lineRule="auto"/>
        <w:rPr>
          <w:rFonts w:ascii="Sennheiser Office" w:eastAsiaTheme="minorEastAsia" w:hAnsi="Sennheiser Office" w:cstheme="minorBidi"/>
          <w:sz w:val="18"/>
          <w:szCs w:val="18"/>
        </w:rPr>
      </w:pPr>
      <w:r w:rsidRPr="00E240DE">
        <w:rPr>
          <w:rFonts w:ascii="Sennheiser Office" w:eastAsiaTheme="minorEastAsia" w:hAnsi="Sennheiser Office"/>
          <w:sz w:val="18"/>
          <w:szCs w:val="18"/>
          <w:lang w:eastAsia="en-GB"/>
          <w14:ligatures w14:val="standardContextual"/>
        </w:rPr>
        <w:t>Parmi les nouveautés majeures du TCC M Plus figure </w:t>
      </w:r>
      <w:proofErr w:type="spellStart"/>
      <w:r w:rsidRPr="00E240DE">
        <w:rPr>
          <w:rFonts w:ascii="Sennheiser Office" w:eastAsiaTheme="minorEastAsia" w:hAnsi="Sennheiser Office"/>
          <w:sz w:val="18"/>
          <w:szCs w:val="18"/>
          <w:lang w:eastAsia="en-GB"/>
          <w14:ligatures w14:val="standardContextual"/>
        </w:rPr>
        <w:t>PartnerLink</w:t>
      </w:r>
      <w:proofErr w:type="spellEnd"/>
      <w:r w:rsidRPr="00E240DE">
        <w:rPr>
          <w:rFonts w:ascii="Sennheiser Office" w:eastAsiaTheme="minorEastAsia" w:hAnsi="Sennheiser Office"/>
          <w:sz w:val="18"/>
          <w:szCs w:val="18"/>
          <w:lang w:eastAsia="en-GB"/>
          <w14:ligatures w14:val="standardContextual"/>
        </w:rPr>
        <w:t>, une technologie d’intégration développée par Sennheiser afin de simplifier la configuration des microphones au sein des principales plateformes audiovisuelles du marché. Première concrétisation de cette approche, une intégration développée conjointement par les équipes d’ingénierie de Sennheiser et de Q-SYS™ permet désormais de configurer directement le TCC M Plus depuis le logiciel Q-SYS Designer. Cette intégration facilite la mise en œuvre de l’audio et des fonctions de contrôle au sein d’un environnement composé de composants natifs Q-SYS</w:t>
      </w:r>
      <w:r w:rsidR="1E711A02" w:rsidRPr="00E240DE">
        <w:rPr>
          <w:rFonts w:ascii="Sennheiser Office" w:eastAsiaTheme="minorEastAsia" w:hAnsi="Sennheiser Office" w:cstheme="minorBidi"/>
          <w:sz w:val="18"/>
          <w:szCs w:val="18"/>
        </w:rPr>
        <w:t>.</w:t>
      </w:r>
    </w:p>
    <w:p w14:paraId="5F2ED03D" w14:textId="77777777" w:rsidR="00864EAF" w:rsidRPr="00E240DE" w:rsidDel="0045021D"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51075230" w14:textId="4241976B" w:rsidR="00163E16"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 xml:space="preserve">« Notre collaboration avec Sennheiser vise à simplifier l’intégration d’une qualité audio premium au sein de l’écosystème Q-SYS », explique Gary Evans, Director, Alliances chez QSC®. « Grâce à l’extension Q-SYS pour Sennheiser </w:t>
      </w:r>
      <w:proofErr w:type="spellStart"/>
      <w:r w:rsidRPr="00E240DE">
        <w:rPr>
          <w:rFonts w:ascii="Sennheiser Office" w:eastAsiaTheme="minorEastAsia" w:hAnsi="Sennheiser Office"/>
          <w:sz w:val="18"/>
          <w:szCs w:val="18"/>
          <w:lang w:eastAsia="en-GB"/>
          <w14:ligatures w14:val="standardContextual"/>
        </w:rPr>
        <w:t>PartnerLink</w:t>
      </w:r>
      <w:proofErr w:type="spellEnd"/>
      <w:r w:rsidRPr="00E240DE">
        <w:rPr>
          <w:rFonts w:ascii="Sennheiser Office" w:eastAsiaTheme="minorEastAsia" w:hAnsi="Sennheiser Office"/>
          <w:sz w:val="18"/>
          <w:szCs w:val="18"/>
          <w:lang w:eastAsia="en-GB"/>
          <w14:ligatures w14:val="standardContextual"/>
        </w:rPr>
        <w:t>, nous rationalisons le déploiement et facilitons l’intégration des solutions audio Sennheiser ainsi que des principales fonctions de contrôle et d’automatisation, tout en conservant la flexibilité qui fait la réputation de la plateforme AV Full Stack Q-SYS. »</w:t>
      </w:r>
    </w:p>
    <w:p w14:paraId="32FE041F" w14:textId="7BC9F8EC" w:rsidR="0038700E" w:rsidRPr="00E240DE" w:rsidDel="00CE6617" w:rsidRDefault="0038700E" w:rsidP="00E240DE">
      <w:pPr>
        <w:pStyle w:val="paragraph"/>
        <w:spacing w:before="0" w:beforeAutospacing="0" w:after="0" w:afterAutospacing="0" w:line="360" w:lineRule="auto"/>
        <w:rPr>
          <w:rFonts w:ascii="Sennheiser Office" w:eastAsiaTheme="minorEastAsia" w:hAnsi="Sennheiser Office" w:cstheme="minorBidi"/>
          <w:kern w:val="2"/>
          <w:sz w:val="18"/>
          <w:szCs w:val="18"/>
          <w:highlight w:val="yellow"/>
          <w:lang w:val="fr-FR"/>
        </w:rPr>
      </w:pPr>
    </w:p>
    <w:p w14:paraId="46CE4E37" w14:textId="6B1FD6F7" w:rsidR="00CE2073"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 xml:space="preserve">Dans un premier temps, </w:t>
      </w:r>
      <w:proofErr w:type="spellStart"/>
      <w:r w:rsidRPr="00E240DE">
        <w:rPr>
          <w:rFonts w:ascii="Sennheiser Office" w:eastAsiaTheme="minorEastAsia" w:hAnsi="Sennheiser Office"/>
          <w:sz w:val="18"/>
          <w:szCs w:val="18"/>
          <w:lang w:eastAsia="en-GB"/>
          <w14:ligatures w14:val="standardContextual"/>
        </w:rPr>
        <w:t>PartnerLink</w:t>
      </w:r>
      <w:proofErr w:type="spellEnd"/>
      <w:r w:rsidRPr="00E240DE">
        <w:rPr>
          <w:rFonts w:ascii="Sennheiser Office" w:eastAsiaTheme="minorEastAsia" w:hAnsi="Sennheiser Office"/>
          <w:sz w:val="18"/>
          <w:szCs w:val="18"/>
          <w:lang w:eastAsia="en-GB"/>
          <w14:ligatures w14:val="standardContextual"/>
        </w:rPr>
        <w:t xml:space="preserve"> sera disponible pour les environnements Q-SYS avant d’être progressivement étendu à d’autres plateformes. Cette évolution s’inscrit dans la stratégie d’écosystème ouvert portée par Sennheiser, garantissant des intégrations fiables et validées avec un large éventail de partenaires technologiques.</w:t>
      </w:r>
    </w:p>
    <w:p w14:paraId="4CD3572C" w14:textId="77777777" w:rsidR="00AF2273" w:rsidRPr="00E240DE" w:rsidRDefault="00AF2273" w:rsidP="00E240DE">
      <w:pPr>
        <w:pStyle w:val="paragraph"/>
        <w:spacing w:before="0" w:beforeAutospacing="0" w:after="0" w:afterAutospacing="0" w:line="360" w:lineRule="auto"/>
        <w:rPr>
          <w:rFonts w:ascii="Sennheiser Office" w:eastAsiaTheme="minorHAnsi" w:hAnsi="Sennheiser Office" w:cstheme="minorBidi"/>
          <w:kern w:val="2"/>
          <w:sz w:val="18"/>
          <w:szCs w:val="18"/>
          <w:lang w:val="fr-FR"/>
        </w:rPr>
      </w:pPr>
    </w:p>
    <w:p w14:paraId="1CEC3818"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b/>
          <w:bCs/>
          <w:sz w:val="18"/>
          <w:szCs w:val="18"/>
          <w:lang w:eastAsia="en-GB"/>
          <w14:ligatures w14:val="standardContextual"/>
        </w:rPr>
      </w:pPr>
      <w:r w:rsidRPr="00E240DE">
        <w:rPr>
          <w:rFonts w:ascii="Sennheiser Office" w:eastAsiaTheme="minorEastAsia" w:hAnsi="Sennheiser Office"/>
          <w:b/>
          <w:bCs/>
          <w:sz w:val="18"/>
          <w:szCs w:val="18"/>
          <w:lang w:eastAsia="en-GB"/>
          <w14:ligatures w14:val="standardContextual"/>
        </w:rPr>
        <w:t>Une intégration flexible pour répondre à tous les environnements audiovisuels</w:t>
      </w:r>
    </w:p>
    <w:p w14:paraId="2D30B1C2"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 xml:space="preserve">Au-delà de </w:t>
      </w:r>
      <w:proofErr w:type="spellStart"/>
      <w:r w:rsidRPr="00E240DE">
        <w:rPr>
          <w:rFonts w:ascii="Sennheiser Office" w:eastAsiaTheme="minorEastAsia" w:hAnsi="Sennheiser Office"/>
          <w:sz w:val="18"/>
          <w:szCs w:val="18"/>
          <w:lang w:eastAsia="en-GB"/>
          <w14:ligatures w14:val="standardContextual"/>
        </w:rPr>
        <w:t>PartnerLink</w:t>
      </w:r>
      <w:proofErr w:type="spellEnd"/>
      <w:r w:rsidRPr="00E240DE">
        <w:rPr>
          <w:rFonts w:ascii="Sennheiser Office" w:eastAsiaTheme="minorEastAsia" w:hAnsi="Sennheiser Office"/>
          <w:sz w:val="18"/>
          <w:szCs w:val="18"/>
          <w:lang w:eastAsia="en-GB"/>
          <w14:ligatures w14:val="standardContextual"/>
        </w:rPr>
        <w:t>, le TCC M Plus s’inscrit dans la continuité de l’approche de Sennheiser en matière d’interopérabilité en prenant en charge différentes méthodes d’intégration afin de répondre à la diversité des architectures et des besoins clients.</w:t>
      </w:r>
    </w:p>
    <w:p w14:paraId="1F48A510"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40202C6E"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Les intégrateurs peuvent ainsi déployer les microphones Sennheiser via des technologies éprouvées telles que </w:t>
      </w:r>
      <w:r w:rsidRPr="00E240DE">
        <w:rPr>
          <w:rFonts w:ascii="Sennheiser Office" w:eastAsiaTheme="minorEastAsia" w:hAnsi="Sennheiser Office"/>
          <w:b/>
          <w:bCs/>
          <w:sz w:val="18"/>
          <w:szCs w:val="18"/>
          <w:lang w:eastAsia="en-GB"/>
          <w14:ligatures w14:val="standardContextual"/>
        </w:rPr>
        <w:t>Dante</w:t>
      </w:r>
      <w:r w:rsidRPr="00E240DE">
        <w:rPr>
          <w:rFonts w:ascii="Sennheiser Office" w:eastAsiaTheme="minorEastAsia" w:hAnsi="Sennheiser Office"/>
          <w:sz w:val="18"/>
          <w:szCs w:val="18"/>
          <w:lang w:eastAsia="en-GB"/>
          <w14:ligatures w14:val="standardContextual"/>
        </w:rPr>
        <w:t> ou au travers d’intégrations validées, garantissant des processus cohérents dans des salles de réunion, espaces de formation ou environnements collaboratifs de toutes tailles. Cette flexibilité permet aux organisations de standardiser leurs solutions audio Sennheiser tout en conservant la liberté de choisir les plateformes et infrastructures les mieux adaptées à leurs besoins.</w:t>
      </w:r>
    </w:p>
    <w:p w14:paraId="7EF2D333"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2D554058"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b/>
          <w:bCs/>
          <w:sz w:val="18"/>
          <w:szCs w:val="18"/>
          <w:lang w:eastAsia="en-GB"/>
          <w14:ligatures w14:val="standardContextual"/>
        </w:rPr>
      </w:pPr>
      <w:r w:rsidRPr="00E240DE">
        <w:rPr>
          <w:rFonts w:ascii="Sennheiser Office" w:eastAsiaTheme="minorEastAsia" w:hAnsi="Sennheiser Office"/>
          <w:b/>
          <w:bCs/>
          <w:sz w:val="18"/>
          <w:szCs w:val="18"/>
          <w:lang w:eastAsia="en-GB"/>
          <w14:ligatures w14:val="standardContextual"/>
        </w:rPr>
        <w:t>Pensé pour les espaces de collaboration nouvelle génération</w:t>
      </w:r>
    </w:p>
    <w:p w14:paraId="3A923547"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À mesure que les environnements de travail et d’apprentissage hybrides évoluent, les systèmes audiovisuels deviennent plus connectés et plus complexes. Le TCC M Plus a été conçu pour répondre à ces nouveaux enjeux en combinant une qualité audio élevée à une configuration, une mise en service et une gestion simplifiées.</w:t>
      </w:r>
    </w:p>
    <w:p w14:paraId="618055E7"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1612BF4F"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Grâce à des fonctionnalités telles que le </w:t>
      </w:r>
      <w:proofErr w:type="spellStart"/>
      <w:r w:rsidRPr="00E240DE">
        <w:rPr>
          <w:rFonts w:ascii="Sennheiser Office" w:eastAsiaTheme="minorEastAsia" w:hAnsi="Sennheiser Office"/>
          <w:b/>
          <w:bCs/>
          <w:sz w:val="18"/>
          <w:szCs w:val="18"/>
          <w:lang w:eastAsia="en-GB"/>
          <w14:ligatures w14:val="standardContextual"/>
        </w:rPr>
        <w:t>beamforming</w:t>
      </w:r>
      <w:proofErr w:type="spellEnd"/>
      <w:r w:rsidRPr="00E240DE">
        <w:rPr>
          <w:rFonts w:ascii="Sennheiser Office" w:eastAsiaTheme="minorEastAsia" w:hAnsi="Sennheiser Office"/>
          <w:b/>
          <w:bCs/>
          <w:sz w:val="18"/>
          <w:szCs w:val="18"/>
          <w:lang w:eastAsia="en-GB"/>
          <w14:ligatures w14:val="standardContextual"/>
        </w:rPr>
        <w:t xml:space="preserve"> dynamique</w:t>
      </w:r>
      <w:r w:rsidRPr="00E240DE">
        <w:rPr>
          <w:rFonts w:ascii="Sennheiser Office" w:eastAsiaTheme="minorEastAsia" w:hAnsi="Sennheiser Office"/>
          <w:sz w:val="18"/>
          <w:szCs w:val="18"/>
          <w:lang w:eastAsia="en-GB"/>
          <w14:ligatures w14:val="standardContextual"/>
        </w:rPr>
        <w:t> et des </w:t>
      </w:r>
      <w:r w:rsidRPr="00E240DE">
        <w:rPr>
          <w:rFonts w:ascii="Sennheiser Office" w:eastAsiaTheme="minorEastAsia" w:hAnsi="Sennheiser Office"/>
          <w:b/>
          <w:bCs/>
          <w:sz w:val="18"/>
          <w:szCs w:val="18"/>
          <w:lang w:eastAsia="en-GB"/>
          <w14:ligatures w14:val="standardContextual"/>
        </w:rPr>
        <w:t>zones d’exclusion avancées</w:t>
      </w:r>
      <w:r w:rsidRPr="00E240DE">
        <w:rPr>
          <w:rFonts w:ascii="Sennheiser Office" w:eastAsiaTheme="minorEastAsia" w:hAnsi="Sennheiser Office"/>
          <w:sz w:val="18"/>
          <w:szCs w:val="18"/>
          <w:lang w:eastAsia="en-GB"/>
          <w14:ligatures w14:val="standardContextual"/>
        </w:rPr>
        <w:t>, la solution garantit une restitution vocale claire et naturelle qui s’adapte automatiquement aux évolutions de la configuration des salles et à la position des participants. Chaque intervention est captée avec précision, sans distraction ni bruit indésirable. Les nouvelles zones d’exclusion simplifient également la configuration des espaces complexes et améliorent significativement la qualité de captation ainsi que la fiabilité des systèmes de suivi caméra.</w:t>
      </w:r>
    </w:p>
    <w:p w14:paraId="419B195C"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6841FD5B"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Parallèlement, le TCC M Plus réduit les efforts nécessaires à la conception, au déploiement et à l’administration des installations, offrant une expérience plus homogène et prévisible aux intégrateurs, aux équipes AV et IT ainsi qu’aux utilisateurs finaux. Ses options d’installation flexibles et sa couverture adaptée aux salles de taille moyenne à grande en font une solution idéale pour les salles de réunion, les salles de cours ou les espaces modulables.</w:t>
      </w:r>
    </w:p>
    <w:p w14:paraId="13B8CDF0"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46A18D16"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Le microphone prend également en charge des déploiements à grande échelle grâce à des options de connectivité sur câble unique et à une gestion centralisée, permettant aux organisations de standardiser facilement leurs équipements sur plusieurs sites et dans plusieurs salles.</w:t>
      </w:r>
    </w:p>
    <w:p w14:paraId="77F69FD2" w14:textId="77777777" w:rsidR="00E240DE" w:rsidRPr="00E240DE" w:rsidRDefault="00E240DE" w:rsidP="00E240DE">
      <w:pPr>
        <w:pStyle w:val="isselectedend"/>
        <w:tabs>
          <w:tab w:val="left" w:pos="8185"/>
        </w:tabs>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3EAE5697"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b/>
          <w:bCs/>
          <w:sz w:val="18"/>
          <w:szCs w:val="18"/>
          <w:lang w:eastAsia="en-GB"/>
          <w14:ligatures w14:val="standardContextual"/>
        </w:rPr>
      </w:pPr>
      <w:r w:rsidRPr="00E240DE">
        <w:rPr>
          <w:rFonts w:ascii="Sennheiser Office" w:eastAsiaTheme="minorEastAsia" w:hAnsi="Sennheiser Office"/>
          <w:b/>
          <w:bCs/>
          <w:sz w:val="18"/>
          <w:szCs w:val="18"/>
          <w:lang w:eastAsia="en-GB"/>
          <w14:ligatures w14:val="standardContextual"/>
        </w:rPr>
        <w:t xml:space="preserve">Une gestion centralisée grâce à </w:t>
      </w:r>
      <w:proofErr w:type="spellStart"/>
      <w:r w:rsidRPr="00E240DE">
        <w:rPr>
          <w:rFonts w:ascii="Sennheiser Office" w:eastAsiaTheme="minorEastAsia" w:hAnsi="Sennheiser Office"/>
          <w:b/>
          <w:bCs/>
          <w:sz w:val="18"/>
          <w:szCs w:val="18"/>
          <w:lang w:eastAsia="en-GB"/>
          <w14:ligatures w14:val="standardContextual"/>
        </w:rPr>
        <w:t>DeviceHub</w:t>
      </w:r>
      <w:proofErr w:type="spellEnd"/>
    </w:p>
    <w:p w14:paraId="413CB147"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lastRenderedPageBreak/>
        <w:t>En complément de ses capacités d’intégration, le TCC M Plus est compatible avec </w:t>
      </w:r>
      <w:proofErr w:type="spellStart"/>
      <w:r w:rsidRPr="00E240DE">
        <w:rPr>
          <w:rFonts w:ascii="Sennheiser Office" w:eastAsiaTheme="minorEastAsia" w:hAnsi="Sennheiser Office"/>
          <w:b/>
          <w:bCs/>
          <w:sz w:val="18"/>
          <w:szCs w:val="18"/>
          <w:lang w:eastAsia="en-GB"/>
          <w14:ligatures w14:val="standardContextual"/>
        </w:rPr>
        <w:t>DeviceHub</w:t>
      </w:r>
      <w:proofErr w:type="spellEnd"/>
      <w:r w:rsidRPr="00E240DE">
        <w:rPr>
          <w:rFonts w:ascii="Sennheiser Office" w:eastAsiaTheme="minorEastAsia" w:hAnsi="Sennheiser Office"/>
          <w:sz w:val="18"/>
          <w:szCs w:val="18"/>
          <w:lang w:eastAsia="en-GB"/>
          <w14:ligatures w14:val="standardContextual"/>
        </w:rPr>
        <w:t>, la plateforme cloud de Sennheiser conçue pour simplifier la gestion des équipements à grande échelle.</w:t>
      </w:r>
    </w:p>
    <w:p w14:paraId="36FC57D7"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5069C323"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 xml:space="preserve">Cette intégration permet d’accéder directement au microphone pour sa configuration et sa supervision, sans installation d’outils supplémentaires. </w:t>
      </w:r>
      <w:proofErr w:type="spellStart"/>
      <w:r w:rsidRPr="00E240DE">
        <w:rPr>
          <w:rFonts w:ascii="Sennheiser Office" w:eastAsiaTheme="minorEastAsia" w:hAnsi="Sennheiser Office"/>
          <w:sz w:val="18"/>
          <w:szCs w:val="18"/>
          <w:lang w:eastAsia="en-GB"/>
          <w14:ligatures w14:val="standardContextual"/>
        </w:rPr>
        <w:t>DeviceHub</w:t>
      </w:r>
      <w:proofErr w:type="spellEnd"/>
      <w:r w:rsidRPr="00E240DE">
        <w:rPr>
          <w:rFonts w:ascii="Sennheiser Office" w:eastAsiaTheme="minorEastAsia" w:hAnsi="Sennheiser Office"/>
          <w:sz w:val="18"/>
          <w:szCs w:val="18"/>
          <w:lang w:eastAsia="en-GB"/>
          <w14:ligatures w14:val="standardContextual"/>
        </w:rPr>
        <w:t xml:space="preserve"> offre une visibilité centralisée sur l’ensemble des équipements répartis dans différents bâtiments, campus ou régions, avec des fonctionnalités de surveillance à distance, de configuration, de diagnostic et de gestion des accès basée sur les rôles.</w:t>
      </w:r>
    </w:p>
    <w:p w14:paraId="08EAFA33"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04700776"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Les équipes AV et IT peuvent ainsi collaborer de manière sécurisée et gérer plus efficacement des infrastructures audiovisuelles en croissance, tout en réduisant les contraintes opérationnelles et en maintenant un niveau de performance optimal.</w:t>
      </w:r>
    </w:p>
    <w:p w14:paraId="75F34CA8"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58DAE300"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b/>
          <w:bCs/>
          <w:sz w:val="18"/>
          <w:szCs w:val="18"/>
          <w:lang w:eastAsia="en-GB"/>
          <w14:ligatures w14:val="standardContextual"/>
        </w:rPr>
      </w:pPr>
      <w:r w:rsidRPr="00E240DE">
        <w:rPr>
          <w:rFonts w:ascii="Sennheiser Office" w:eastAsiaTheme="minorEastAsia" w:hAnsi="Sennheiser Office"/>
          <w:b/>
          <w:bCs/>
          <w:sz w:val="18"/>
          <w:szCs w:val="18"/>
          <w:lang w:eastAsia="en-GB"/>
          <w14:ligatures w14:val="standardContextual"/>
        </w:rPr>
        <w:t>Une solution conçue pour les déploiements audiovisuels à grande échelle</w:t>
      </w:r>
    </w:p>
    <w:p w14:paraId="60436C7C"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Le TCC M Plus a été développé pour répondre aux attentes des intégrateurs, responsables AV/IT et organisations déployant des solutions collaboratives à grande échelle.</w:t>
      </w:r>
    </w:p>
    <w:p w14:paraId="0EA5B880" w14:textId="77777777" w:rsidR="00864EAF"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p>
    <w:p w14:paraId="42A72689" w14:textId="52535B4B" w:rsidR="00AF2273" w:rsidRPr="00E240DE" w:rsidRDefault="00864EAF" w:rsidP="00E240DE">
      <w:pPr>
        <w:pStyle w:val="isselectedend"/>
        <w:spacing w:before="0" w:beforeAutospacing="0" w:after="0" w:afterAutospacing="0" w:line="360" w:lineRule="auto"/>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En associant une mise en œuvre simplifiée, des options d’intégration fiables et flexibles ainsi qu’une gestion centralisée dans le cloud, le TeamConnect Ceiling M Plus permet aux entreprises et établissements d’enseignement d’offrir une expérience audio homogène et de haute qualité, tout en réduisant considérablement les efforts liés au déploiement et à l’exploitation de leurs infrastructures audiovisuelles.</w:t>
      </w:r>
    </w:p>
    <w:p w14:paraId="01011B36" w14:textId="2E8DA0C8" w:rsidR="00151603" w:rsidRPr="00E240DE" w:rsidRDefault="00151603" w:rsidP="00E240DE">
      <w:pPr>
        <w:pStyle w:val="paragraph"/>
        <w:spacing w:before="0" w:beforeAutospacing="0" w:after="0" w:afterAutospacing="0" w:line="360" w:lineRule="auto"/>
        <w:jc w:val="center"/>
        <w:rPr>
          <w:rFonts w:ascii="Sennheiser Office" w:hAnsi="Sennheiser Office"/>
          <w:b/>
          <w:bCs/>
          <w:sz w:val="18"/>
          <w:szCs w:val="18"/>
          <w:lang w:val="fr-FR"/>
        </w:rPr>
      </w:pPr>
      <w:r w:rsidRPr="00E240DE">
        <w:rPr>
          <w:rFonts w:ascii="Sennheiser Office" w:hAnsi="Sennheiser Office"/>
          <w:b/>
          <w:bCs/>
          <w:sz w:val="18"/>
          <w:szCs w:val="18"/>
          <w:lang w:val="fr-FR"/>
        </w:rPr>
        <w:t>###</w:t>
      </w:r>
    </w:p>
    <w:p w14:paraId="4C8C7917" w14:textId="77777777" w:rsidR="00151603" w:rsidRPr="00E240DE" w:rsidRDefault="00151603" w:rsidP="00E240DE">
      <w:pPr>
        <w:pStyle w:val="paragraph"/>
        <w:spacing w:before="0" w:beforeAutospacing="0" w:after="0" w:afterAutospacing="0"/>
        <w:jc w:val="center"/>
        <w:rPr>
          <w:rFonts w:ascii="Sennheiser Office" w:hAnsi="Sennheiser Office"/>
          <w:b/>
          <w:bCs/>
          <w:sz w:val="18"/>
          <w:szCs w:val="18"/>
          <w:lang w:val="fr-FR"/>
        </w:rPr>
      </w:pPr>
    </w:p>
    <w:p w14:paraId="19CA80EF" w14:textId="77777777" w:rsidR="00864EAF" w:rsidRPr="00E240DE" w:rsidRDefault="00864EAF" w:rsidP="00E240DE">
      <w:pPr>
        <w:pStyle w:val="paragraph"/>
        <w:spacing w:before="0" w:beforeAutospacing="0" w:after="0" w:afterAutospacing="0"/>
        <w:jc w:val="center"/>
        <w:rPr>
          <w:rFonts w:ascii="Sennheiser Office" w:hAnsi="Sennheiser Office"/>
          <w:b/>
          <w:bCs/>
          <w:sz w:val="18"/>
          <w:szCs w:val="18"/>
          <w:lang w:val="fr-FR"/>
        </w:rPr>
      </w:pPr>
    </w:p>
    <w:p w14:paraId="70392ADB" w14:textId="77777777" w:rsidR="00864EAF" w:rsidRPr="00E240DE" w:rsidRDefault="00864EAF" w:rsidP="00E240DE">
      <w:pPr>
        <w:pStyle w:val="paragraph"/>
        <w:spacing w:before="0" w:beforeAutospacing="0" w:after="0" w:afterAutospacing="0"/>
        <w:jc w:val="center"/>
        <w:rPr>
          <w:rFonts w:ascii="Sennheiser Office" w:hAnsi="Sennheiser Office"/>
          <w:b/>
          <w:bCs/>
          <w:sz w:val="18"/>
          <w:szCs w:val="18"/>
          <w:lang w:val="fr-FR"/>
        </w:rPr>
      </w:pPr>
    </w:p>
    <w:p w14:paraId="5606D0A0" w14:textId="77777777" w:rsidR="00864EAF" w:rsidRPr="00E240DE" w:rsidRDefault="00864EAF" w:rsidP="00E240DE">
      <w:pPr>
        <w:pStyle w:val="isselectedend"/>
        <w:spacing w:before="0" w:beforeAutospacing="0" w:after="0" w:afterAutospacing="0"/>
        <w:rPr>
          <w:rFonts w:ascii="Sennheiser Office" w:eastAsiaTheme="minorEastAsia" w:hAnsi="Sennheiser Office"/>
          <w:b/>
          <w:bCs/>
          <w:sz w:val="18"/>
          <w:szCs w:val="18"/>
          <w:lang w:eastAsia="en-GB"/>
          <w14:ligatures w14:val="standardContextual"/>
        </w:rPr>
      </w:pPr>
      <w:r w:rsidRPr="00E240DE">
        <w:rPr>
          <w:rFonts w:ascii="Sennheiser Office" w:eastAsiaTheme="minorEastAsia" w:hAnsi="Sennheiser Office"/>
          <w:b/>
          <w:bCs/>
          <w:sz w:val="18"/>
          <w:szCs w:val="18"/>
          <w:lang w:eastAsia="en-GB"/>
          <w14:ligatures w14:val="standardContextual"/>
        </w:rPr>
        <w:t>À propos de la marque Sennheiser – Plus de 80 ans à façonner l’avenir de l’audio</w:t>
      </w:r>
    </w:p>
    <w:p w14:paraId="5E7E6C0E" w14:textId="77777777" w:rsidR="00864EAF" w:rsidRPr="00E240DE" w:rsidRDefault="00864EAF" w:rsidP="00E240DE">
      <w:pPr>
        <w:pStyle w:val="isselectedend"/>
        <w:spacing w:before="0" w:beforeAutospacing="0" w:after="0" w:afterAutospacing="0"/>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Chez Sennheiser, nous vivons et respirons l’audio. Nous sommes animés par la passion de concevoir des solutions qui font la différence. Cette passion nous a conduits des plus grandes scènes du monde aux environnements d’écoute les plus intimistes, faisant de Sennheiser une référence pour celles et ceux qui recherchent un son qui ne se contente pas d’être entendu, mais qui se ressent.</w:t>
      </w:r>
    </w:p>
    <w:p w14:paraId="33043E70" w14:textId="77777777" w:rsidR="00864EAF" w:rsidRPr="00E240DE" w:rsidRDefault="00864EAF" w:rsidP="00E240DE">
      <w:pPr>
        <w:pStyle w:val="isselectedend"/>
        <w:spacing w:before="0" w:beforeAutospacing="0" w:after="0" w:afterAutospacing="0"/>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Depuis 1945, nous façonnons l’avenir de l’audio en créant des expériences sonores remarquables pour nos clients à travers le monde.</w:t>
      </w:r>
    </w:p>
    <w:p w14:paraId="63845ED5" w14:textId="77777777" w:rsidR="00864EAF" w:rsidRPr="00E240DE" w:rsidRDefault="00864EAF" w:rsidP="00E240DE">
      <w:pPr>
        <w:pStyle w:val="isselectedend"/>
        <w:spacing w:before="0" w:beforeAutospacing="0" w:after="0" w:afterAutospacing="0"/>
        <w:rPr>
          <w:rFonts w:ascii="Sennheiser Office" w:eastAsiaTheme="minorEastAsia" w:hAnsi="Sennheiser Office"/>
          <w:sz w:val="18"/>
          <w:szCs w:val="18"/>
          <w:lang w:eastAsia="en-GB"/>
          <w14:ligatures w14:val="standardContextual"/>
        </w:rPr>
      </w:pPr>
    </w:p>
    <w:p w14:paraId="71FE7020" w14:textId="1E5D8FD8" w:rsidR="00A77333" w:rsidRPr="00E240DE" w:rsidRDefault="00864EAF" w:rsidP="00E240DE">
      <w:pPr>
        <w:pStyle w:val="isselectedend"/>
        <w:spacing w:before="0" w:beforeAutospacing="0" w:after="0" w:afterAutospacing="0"/>
        <w:rPr>
          <w:rFonts w:ascii="Sennheiser Office" w:eastAsiaTheme="minorEastAsia" w:hAnsi="Sennheiser Office"/>
          <w:sz w:val="18"/>
          <w:szCs w:val="18"/>
          <w:lang w:eastAsia="en-GB"/>
          <w14:ligatures w14:val="standardContextual"/>
        </w:rPr>
      </w:pPr>
      <w:r w:rsidRPr="00E240DE">
        <w:rPr>
          <w:rFonts w:ascii="Sennheiser Office" w:eastAsiaTheme="minorEastAsia" w:hAnsi="Sennheiser Office"/>
          <w:sz w:val="18"/>
          <w:szCs w:val="18"/>
          <w:lang w:eastAsia="en-GB"/>
          <w14:ligatures w14:val="standardContextual"/>
        </w:rPr>
        <w:t>Les solutions audio professionnelles telles que les microphones, les systèmes de collaboration, les technologies de streaming et les solutions de monitoring sont développées et commercialisées par </w:t>
      </w:r>
      <w:r w:rsidRPr="00E240DE">
        <w:rPr>
          <w:rFonts w:ascii="Sennheiser Office" w:eastAsiaTheme="minorEastAsia" w:hAnsi="Sennheiser Office"/>
          <w:b/>
          <w:bCs/>
          <w:sz w:val="18"/>
          <w:szCs w:val="18"/>
          <w:lang w:eastAsia="en-GB"/>
          <w14:ligatures w14:val="standardContextual"/>
        </w:rPr>
        <w:t>Sennheiser electronic SE &amp; Co. KG</w:t>
      </w:r>
      <w:r w:rsidRPr="00E240DE">
        <w:rPr>
          <w:rFonts w:ascii="Sennheiser Office" w:eastAsiaTheme="minorEastAsia" w:hAnsi="Sennheiser Office"/>
          <w:sz w:val="18"/>
          <w:szCs w:val="18"/>
          <w:lang w:eastAsia="en-GB"/>
          <w14:ligatures w14:val="standardContextual"/>
        </w:rPr>
        <w:t>. Les produits grand public, notamment les casques audio, barres de son et solutions d’écoute assistée, sont quant à eux commercialisés par </w:t>
      </w:r>
      <w:r w:rsidRPr="00E240DE">
        <w:rPr>
          <w:rFonts w:ascii="Sennheiser Office" w:eastAsiaTheme="minorEastAsia" w:hAnsi="Sennheiser Office"/>
          <w:b/>
          <w:bCs/>
          <w:sz w:val="18"/>
          <w:szCs w:val="18"/>
          <w:lang w:eastAsia="en-GB"/>
          <w14:ligatures w14:val="standardContextual"/>
        </w:rPr>
        <w:t>Sonova Holding AG</w:t>
      </w:r>
      <w:r w:rsidRPr="00E240DE">
        <w:rPr>
          <w:rFonts w:ascii="Sennheiser Office" w:eastAsiaTheme="minorEastAsia" w:hAnsi="Sennheiser Office"/>
          <w:sz w:val="18"/>
          <w:szCs w:val="18"/>
          <w:lang w:eastAsia="en-GB"/>
          <w14:ligatures w14:val="standardContextual"/>
        </w:rPr>
        <w:t> sous licence de la marque Sennheiser.</w:t>
      </w:r>
    </w:p>
    <w:p w14:paraId="4005CD55" w14:textId="77777777" w:rsidR="00D775D4" w:rsidRPr="00E240DE" w:rsidRDefault="00D775D4" w:rsidP="00E240DE">
      <w:pPr>
        <w:pStyle w:val="About"/>
        <w:rPr>
          <w:lang w:val="fr-FR"/>
        </w:rPr>
      </w:pPr>
    </w:p>
    <w:p w14:paraId="340F1DC3" w14:textId="77777777" w:rsidR="00A931FB" w:rsidRPr="00E240DE" w:rsidRDefault="00A931FB" w:rsidP="00E240DE">
      <w:pPr>
        <w:pStyle w:val="About"/>
        <w:rPr>
          <w:color w:val="0095D5"/>
          <w:u w:color="0095D5"/>
          <w:lang w:val="fr-FR"/>
        </w:rPr>
      </w:pPr>
      <w:hyperlink r:id="rId10" w:history="1">
        <w:r w:rsidRPr="00E240DE">
          <w:rPr>
            <w:rStyle w:val="Hyperlink1"/>
            <w:lang w:val="fr-FR"/>
          </w:rPr>
          <w:t>www.sennheiser.com</w:t>
        </w:r>
      </w:hyperlink>
    </w:p>
    <w:p w14:paraId="42F59FA6" w14:textId="77777777" w:rsidR="00A931FB" w:rsidRPr="00E240DE" w:rsidRDefault="00A931FB" w:rsidP="00E240DE">
      <w:pPr>
        <w:pStyle w:val="About"/>
        <w:rPr>
          <w:lang w:val="fr-FR"/>
        </w:rPr>
      </w:pPr>
      <w:hyperlink r:id="rId11">
        <w:r w:rsidRPr="00E240DE">
          <w:rPr>
            <w:rStyle w:val="Hyperlink1"/>
            <w:lang w:val="fr-FR"/>
          </w:rPr>
          <w:t>www.sennheiser-hearing.com</w:t>
        </w:r>
      </w:hyperlink>
    </w:p>
    <w:p w14:paraId="4A181BCE" w14:textId="77777777" w:rsidR="00864EAF" w:rsidRPr="00E240DE" w:rsidRDefault="00864EAF" w:rsidP="00E240DE">
      <w:pPr>
        <w:pStyle w:val="About"/>
        <w:rPr>
          <w:lang w:val="fr-FR"/>
        </w:rPr>
      </w:pPr>
    </w:p>
    <w:p w14:paraId="743574DA" w14:textId="77777777" w:rsidR="00125AA8" w:rsidRPr="00E240DE" w:rsidRDefault="00125AA8" w:rsidP="00E240DE">
      <w:pPr>
        <w:pStyle w:val="About"/>
        <w:rPr>
          <w:lang w:val="fr-FR"/>
        </w:rPr>
      </w:pPr>
    </w:p>
    <w:p w14:paraId="3ACF642E" w14:textId="19EF862E" w:rsidR="00125AA8" w:rsidRPr="00E240DE" w:rsidRDefault="00125AA8" w:rsidP="00E240DE">
      <w:pPr>
        <w:rPr>
          <w:rFonts w:ascii="Sennheiser Office" w:hAnsi="Sennheiser Office"/>
          <w:sz w:val="18"/>
          <w:szCs w:val="18"/>
          <w:lang w:val="fr-FR"/>
        </w:rPr>
      </w:pPr>
    </w:p>
    <w:sectPr w:rsidR="00125AA8" w:rsidRPr="00E240DE">
      <w:headerReference w:type="default" r:id="rId12"/>
      <w:footerReference w:type="even" r:id="rId13"/>
      <w:headerReference w:type="first" r:id="rId14"/>
      <w:footerReference w:type="first" r:id="rId1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A76A" w14:textId="77777777" w:rsidR="00183ACE" w:rsidRDefault="00183ACE">
      <w:r>
        <w:separator/>
      </w:r>
    </w:p>
  </w:endnote>
  <w:endnote w:type="continuationSeparator" w:id="0">
    <w:p w14:paraId="4EE24F96" w14:textId="77777777" w:rsidR="00183ACE" w:rsidRDefault="00183ACE">
      <w:r>
        <w:continuationSeparator/>
      </w:r>
    </w:p>
  </w:endnote>
  <w:endnote w:type="continuationNotice" w:id="1">
    <w:p w14:paraId="28DA8B87" w14:textId="77777777" w:rsidR="00183ACE" w:rsidRDefault="00183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nnheiser Office">
    <w:panose1 w:val="020B0504020101010102"/>
    <w:charset w:val="00"/>
    <w:family w:val="swiss"/>
    <w:pitch w:val="variable"/>
    <w:sig w:usb0="A00000AF" w:usb1="500020DB" w:usb2="00000000" w:usb3="00000000" w:csb0="00000093" w:csb1="00000000"/>
  </w:font>
  <w:font w:name="Yu Mincho">
    <w:charset w:val="80"/>
    <w:family w:val="roman"/>
    <w:pitch w:val="variable"/>
    <w:sig w:usb0="800002E7" w:usb1="2AC7FCFF" w:usb2="00000012" w:usb3="00000000" w:csb0="0002009F" w:csb1="00000000"/>
  </w:font>
  <w:font w:name="Sennheiser Neue Regular">
    <w:panose1 w:val="00000500000000000000"/>
    <w:charset w:val="00"/>
    <w:family w:val="modern"/>
    <w:notTrueType/>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Pieddepage"/>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Pieddepage"/>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7"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37D2" w14:textId="77777777" w:rsidR="00183ACE" w:rsidRDefault="00183ACE">
      <w:r>
        <w:separator/>
      </w:r>
    </w:p>
  </w:footnote>
  <w:footnote w:type="continuationSeparator" w:id="0">
    <w:p w14:paraId="5FEA648C" w14:textId="77777777" w:rsidR="00183ACE" w:rsidRDefault="00183ACE">
      <w:r>
        <w:continuationSeparator/>
      </w:r>
    </w:p>
  </w:footnote>
  <w:footnote w:type="continuationNotice" w:id="1">
    <w:p w14:paraId="75E268DF" w14:textId="77777777" w:rsidR="00183ACE" w:rsidRDefault="00183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28876E95" w:rsidR="0040114C" w:rsidRPr="00864EAF" w:rsidRDefault="006745DA">
    <w:pPr>
      <w:pStyle w:val="En-tte"/>
      <w:rPr>
        <w:rFonts w:ascii="Sennheiser Neue Regular" w:hAnsi="Sennheiser Neue Regular"/>
        <w:color w:val="0095D5"/>
        <w:u w:color="0095D5"/>
      </w:rPr>
    </w:pPr>
    <w:r w:rsidRPr="00864EAF">
      <w:rPr>
        <w:rFonts w:ascii="Sennheiser Neue Regular" w:hAnsi="Sennheiser Neue Regula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sidR="00864EAF" w:rsidRPr="00864EAF">
      <w:rPr>
        <w:rFonts w:ascii="Sennheiser Neue Regular" w:hAnsi="Sennheiser Neue Regular"/>
        <w:color w:val="0095D5"/>
        <w:u w:color="0095D5"/>
      </w:rPr>
      <w:t>COMMUNIQUÉ DE PRESS</w:t>
    </w:r>
    <w:r w:rsidRPr="00864EAF">
      <w:rPr>
        <w:rFonts w:ascii="Sennheiser Neue Regular" w:hAnsi="Sennheiser Neue Regular"/>
        <w:color w:val="0095D5"/>
        <w:u w:color="0095D5"/>
      </w:rPr>
      <w:t>e</w:t>
    </w:r>
  </w:p>
  <w:p w14:paraId="6517BC88" w14:textId="77777777" w:rsidR="0040114C" w:rsidRDefault="006745DA">
    <w:pPr>
      <w:pStyle w:val="En-tte"/>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En-tte"/>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En-tte"/>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A4B9E"/>
    <w:multiLevelType w:val="hybridMultilevel"/>
    <w:tmpl w:val="77FC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616C"/>
    <w:multiLevelType w:val="hybridMultilevel"/>
    <w:tmpl w:val="664E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C49A0"/>
    <w:multiLevelType w:val="hybridMultilevel"/>
    <w:tmpl w:val="68EC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3"/>
  </w:num>
  <w:num w:numId="2" w16cid:durableId="1135561428">
    <w:abstractNumId w:val="5"/>
  </w:num>
  <w:num w:numId="3" w16cid:durableId="597447354">
    <w:abstractNumId w:val="9"/>
  </w:num>
  <w:num w:numId="4" w16cid:durableId="2042244457">
    <w:abstractNumId w:val="10"/>
  </w:num>
  <w:num w:numId="5" w16cid:durableId="1572497658">
    <w:abstractNumId w:val="8"/>
  </w:num>
  <w:num w:numId="6" w16cid:durableId="1876431476">
    <w:abstractNumId w:val="1"/>
  </w:num>
  <w:num w:numId="7" w16cid:durableId="690229749">
    <w:abstractNumId w:val="2"/>
  </w:num>
  <w:num w:numId="8" w16cid:durableId="131559715">
    <w:abstractNumId w:val="0"/>
  </w:num>
  <w:num w:numId="9" w16cid:durableId="1171870002">
    <w:abstractNumId w:val="6"/>
  </w:num>
  <w:num w:numId="10" w16cid:durableId="1037512028">
    <w:abstractNumId w:val="7"/>
  </w:num>
  <w:num w:numId="11" w16cid:durableId="27082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1D9"/>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5B33"/>
    <w:rsid w:val="00037813"/>
    <w:rsid w:val="0004155C"/>
    <w:rsid w:val="000436FA"/>
    <w:rsid w:val="0004373D"/>
    <w:rsid w:val="0004493C"/>
    <w:rsid w:val="000452DE"/>
    <w:rsid w:val="0004770C"/>
    <w:rsid w:val="00051689"/>
    <w:rsid w:val="000524C8"/>
    <w:rsid w:val="000544B8"/>
    <w:rsid w:val="00055CF2"/>
    <w:rsid w:val="0006049E"/>
    <w:rsid w:val="00063D26"/>
    <w:rsid w:val="00066639"/>
    <w:rsid w:val="00066F31"/>
    <w:rsid w:val="00067D3F"/>
    <w:rsid w:val="00071650"/>
    <w:rsid w:val="00073B73"/>
    <w:rsid w:val="00074B5C"/>
    <w:rsid w:val="00077803"/>
    <w:rsid w:val="00082809"/>
    <w:rsid w:val="000903AA"/>
    <w:rsid w:val="0009359C"/>
    <w:rsid w:val="00096E2F"/>
    <w:rsid w:val="000A017A"/>
    <w:rsid w:val="000A2B6C"/>
    <w:rsid w:val="000A4483"/>
    <w:rsid w:val="000A616A"/>
    <w:rsid w:val="000A7059"/>
    <w:rsid w:val="000B2A2C"/>
    <w:rsid w:val="000B3073"/>
    <w:rsid w:val="000B5299"/>
    <w:rsid w:val="000B5ABB"/>
    <w:rsid w:val="000B5E71"/>
    <w:rsid w:val="000B72A2"/>
    <w:rsid w:val="000C17BD"/>
    <w:rsid w:val="000C4322"/>
    <w:rsid w:val="000C61E2"/>
    <w:rsid w:val="000C6F64"/>
    <w:rsid w:val="000D59B8"/>
    <w:rsid w:val="000D65B0"/>
    <w:rsid w:val="000D74DE"/>
    <w:rsid w:val="000D7F06"/>
    <w:rsid w:val="000E00A2"/>
    <w:rsid w:val="000E1B28"/>
    <w:rsid w:val="000E23AA"/>
    <w:rsid w:val="000E2655"/>
    <w:rsid w:val="000E2B82"/>
    <w:rsid w:val="000E47F8"/>
    <w:rsid w:val="000E6F58"/>
    <w:rsid w:val="000E6FA3"/>
    <w:rsid w:val="000E73F9"/>
    <w:rsid w:val="000F36B2"/>
    <w:rsid w:val="000F3746"/>
    <w:rsid w:val="000F6D5B"/>
    <w:rsid w:val="000F6D86"/>
    <w:rsid w:val="00104E11"/>
    <w:rsid w:val="00106FC9"/>
    <w:rsid w:val="001078E8"/>
    <w:rsid w:val="0011096F"/>
    <w:rsid w:val="0011392D"/>
    <w:rsid w:val="00113E2C"/>
    <w:rsid w:val="00120874"/>
    <w:rsid w:val="00120A2C"/>
    <w:rsid w:val="00120B5B"/>
    <w:rsid w:val="001222AF"/>
    <w:rsid w:val="001223B9"/>
    <w:rsid w:val="00122537"/>
    <w:rsid w:val="00122B79"/>
    <w:rsid w:val="00123A89"/>
    <w:rsid w:val="00125AA8"/>
    <w:rsid w:val="00131555"/>
    <w:rsid w:val="0013198C"/>
    <w:rsid w:val="00131AA1"/>
    <w:rsid w:val="00132DB0"/>
    <w:rsid w:val="0013374A"/>
    <w:rsid w:val="00133C67"/>
    <w:rsid w:val="00133D81"/>
    <w:rsid w:val="00134F4A"/>
    <w:rsid w:val="00137C6D"/>
    <w:rsid w:val="00141EB0"/>
    <w:rsid w:val="00141F1A"/>
    <w:rsid w:val="001422BB"/>
    <w:rsid w:val="00151603"/>
    <w:rsid w:val="001528BB"/>
    <w:rsid w:val="00160034"/>
    <w:rsid w:val="00160544"/>
    <w:rsid w:val="00163E16"/>
    <w:rsid w:val="00166691"/>
    <w:rsid w:val="001724F5"/>
    <w:rsid w:val="00172F54"/>
    <w:rsid w:val="001761B8"/>
    <w:rsid w:val="00176ADC"/>
    <w:rsid w:val="00176D89"/>
    <w:rsid w:val="001775E6"/>
    <w:rsid w:val="001778EA"/>
    <w:rsid w:val="001800F0"/>
    <w:rsid w:val="001802AA"/>
    <w:rsid w:val="00182268"/>
    <w:rsid w:val="00183ACE"/>
    <w:rsid w:val="001858A4"/>
    <w:rsid w:val="0019028F"/>
    <w:rsid w:val="00190949"/>
    <w:rsid w:val="0019210F"/>
    <w:rsid w:val="001954A2"/>
    <w:rsid w:val="001A0B96"/>
    <w:rsid w:val="001A1DD0"/>
    <w:rsid w:val="001A201D"/>
    <w:rsid w:val="001A3670"/>
    <w:rsid w:val="001A36BA"/>
    <w:rsid w:val="001A462C"/>
    <w:rsid w:val="001A464E"/>
    <w:rsid w:val="001A4AF0"/>
    <w:rsid w:val="001A78A8"/>
    <w:rsid w:val="001C158D"/>
    <w:rsid w:val="001C3BFB"/>
    <w:rsid w:val="001C5DF7"/>
    <w:rsid w:val="001C6412"/>
    <w:rsid w:val="001D2476"/>
    <w:rsid w:val="001D3257"/>
    <w:rsid w:val="001D453C"/>
    <w:rsid w:val="001E067D"/>
    <w:rsid w:val="001E1247"/>
    <w:rsid w:val="001E13E9"/>
    <w:rsid w:val="001E1782"/>
    <w:rsid w:val="001E1D10"/>
    <w:rsid w:val="001E1F7C"/>
    <w:rsid w:val="001E543F"/>
    <w:rsid w:val="001E6151"/>
    <w:rsid w:val="001E78C1"/>
    <w:rsid w:val="001F0AC0"/>
    <w:rsid w:val="001F38D8"/>
    <w:rsid w:val="001F5F07"/>
    <w:rsid w:val="001F70C9"/>
    <w:rsid w:val="001F7217"/>
    <w:rsid w:val="001F7569"/>
    <w:rsid w:val="002018DB"/>
    <w:rsid w:val="00203C59"/>
    <w:rsid w:val="00205EC1"/>
    <w:rsid w:val="00207936"/>
    <w:rsid w:val="00210D47"/>
    <w:rsid w:val="00210EAD"/>
    <w:rsid w:val="0021108C"/>
    <w:rsid w:val="00215F12"/>
    <w:rsid w:val="00217FD2"/>
    <w:rsid w:val="002210BC"/>
    <w:rsid w:val="002218E6"/>
    <w:rsid w:val="002226E4"/>
    <w:rsid w:val="00223B8D"/>
    <w:rsid w:val="002264B0"/>
    <w:rsid w:val="00233A33"/>
    <w:rsid w:val="00235F47"/>
    <w:rsid w:val="00236A69"/>
    <w:rsid w:val="0023758B"/>
    <w:rsid w:val="00241C97"/>
    <w:rsid w:val="002424D4"/>
    <w:rsid w:val="0024715F"/>
    <w:rsid w:val="0025181B"/>
    <w:rsid w:val="0025274A"/>
    <w:rsid w:val="00253457"/>
    <w:rsid w:val="002538F0"/>
    <w:rsid w:val="00254128"/>
    <w:rsid w:val="00255CBB"/>
    <w:rsid w:val="0025702C"/>
    <w:rsid w:val="00261996"/>
    <w:rsid w:val="00262575"/>
    <w:rsid w:val="00264C9C"/>
    <w:rsid w:val="002651EB"/>
    <w:rsid w:val="00266A3D"/>
    <w:rsid w:val="0026775D"/>
    <w:rsid w:val="002715B6"/>
    <w:rsid w:val="00271781"/>
    <w:rsid w:val="002725DC"/>
    <w:rsid w:val="002742ED"/>
    <w:rsid w:val="0028045D"/>
    <w:rsid w:val="00281846"/>
    <w:rsid w:val="002819D5"/>
    <w:rsid w:val="00284294"/>
    <w:rsid w:val="00284E4B"/>
    <w:rsid w:val="00285354"/>
    <w:rsid w:val="002921EE"/>
    <w:rsid w:val="00294991"/>
    <w:rsid w:val="002A04F1"/>
    <w:rsid w:val="002A1D73"/>
    <w:rsid w:val="002B198E"/>
    <w:rsid w:val="002C0268"/>
    <w:rsid w:val="002C053C"/>
    <w:rsid w:val="002C2128"/>
    <w:rsid w:val="002C2365"/>
    <w:rsid w:val="002C24CC"/>
    <w:rsid w:val="002C37B2"/>
    <w:rsid w:val="002C4032"/>
    <w:rsid w:val="002C7B1B"/>
    <w:rsid w:val="002D1BEF"/>
    <w:rsid w:val="002D33F4"/>
    <w:rsid w:val="002D68B5"/>
    <w:rsid w:val="002E0E6F"/>
    <w:rsid w:val="002E3539"/>
    <w:rsid w:val="002E6629"/>
    <w:rsid w:val="002F3DD5"/>
    <w:rsid w:val="002F42E5"/>
    <w:rsid w:val="002F4938"/>
    <w:rsid w:val="002F6E44"/>
    <w:rsid w:val="002F7485"/>
    <w:rsid w:val="00301D70"/>
    <w:rsid w:val="0030398B"/>
    <w:rsid w:val="003040A8"/>
    <w:rsid w:val="003125D4"/>
    <w:rsid w:val="00312696"/>
    <w:rsid w:val="0031569B"/>
    <w:rsid w:val="003166F3"/>
    <w:rsid w:val="003172A2"/>
    <w:rsid w:val="00317F51"/>
    <w:rsid w:val="00322B57"/>
    <w:rsid w:val="00322D45"/>
    <w:rsid w:val="00323FD9"/>
    <w:rsid w:val="0033005F"/>
    <w:rsid w:val="00336199"/>
    <w:rsid w:val="00337413"/>
    <w:rsid w:val="00342845"/>
    <w:rsid w:val="00342B68"/>
    <w:rsid w:val="0034334E"/>
    <w:rsid w:val="003448F9"/>
    <w:rsid w:val="00345768"/>
    <w:rsid w:val="0034717D"/>
    <w:rsid w:val="003511D2"/>
    <w:rsid w:val="00351CA8"/>
    <w:rsid w:val="00352EB4"/>
    <w:rsid w:val="00352F2B"/>
    <w:rsid w:val="00354D8B"/>
    <w:rsid w:val="0035607B"/>
    <w:rsid w:val="00361D81"/>
    <w:rsid w:val="003647AB"/>
    <w:rsid w:val="00370BBF"/>
    <w:rsid w:val="003715B1"/>
    <w:rsid w:val="00371A87"/>
    <w:rsid w:val="0037316A"/>
    <w:rsid w:val="00373599"/>
    <w:rsid w:val="003761F9"/>
    <w:rsid w:val="0038032B"/>
    <w:rsid w:val="00380A39"/>
    <w:rsid w:val="003836FD"/>
    <w:rsid w:val="00383CC7"/>
    <w:rsid w:val="003845B7"/>
    <w:rsid w:val="003848BC"/>
    <w:rsid w:val="00385057"/>
    <w:rsid w:val="0038700E"/>
    <w:rsid w:val="003916BA"/>
    <w:rsid w:val="00393E3D"/>
    <w:rsid w:val="00393FFF"/>
    <w:rsid w:val="0039427A"/>
    <w:rsid w:val="00395CAB"/>
    <w:rsid w:val="00396DE5"/>
    <w:rsid w:val="0039732F"/>
    <w:rsid w:val="003A5BC0"/>
    <w:rsid w:val="003A5E57"/>
    <w:rsid w:val="003A63CE"/>
    <w:rsid w:val="003A7F1B"/>
    <w:rsid w:val="003B3A1B"/>
    <w:rsid w:val="003B4F08"/>
    <w:rsid w:val="003B521F"/>
    <w:rsid w:val="003B6589"/>
    <w:rsid w:val="003C14F9"/>
    <w:rsid w:val="003C2341"/>
    <w:rsid w:val="003C38CD"/>
    <w:rsid w:val="003C3D8F"/>
    <w:rsid w:val="003C4BC3"/>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3F0B"/>
    <w:rsid w:val="003E5DB4"/>
    <w:rsid w:val="003F023B"/>
    <w:rsid w:val="003F0481"/>
    <w:rsid w:val="003F246D"/>
    <w:rsid w:val="003F72AE"/>
    <w:rsid w:val="003F741D"/>
    <w:rsid w:val="00400F2E"/>
    <w:rsid w:val="0040114C"/>
    <w:rsid w:val="00401278"/>
    <w:rsid w:val="00401C17"/>
    <w:rsid w:val="004051A6"/>
    <w:rsid w:val="00411C79"/>
    <w:rsid w:val="00415D62"/>
    <w:rsid w:val="00421FEF"/>
    <w:rsid w:val="00422B05"/>
    <w:rsid w:val="004234AD"/>
    <w:rsid w:val="00427DF7"/>
    <w:rsid w:val="00430093"/>
    <w:rsid w:val="00430C91"/>
    <w:rsid w:val="004323AD"/>
    <w:rsid w:val="00432CD5"/>
    <w:rsid w:val="00433792"/>
    <w:rsid w:val="00436CB9"/>
    <w:rsid w:val="00437445"/>
    <w:rsid w:val="004415C0"/>
    <w:rsid w:val="0044284E"/>
    <w:rsid w:val="00442F85"/>
    <w:rsid w:val="004446F7"/>
    <w:rsid w:val="00446512"/>
    <w:rsid w:val="0045021D"/>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38E9"/>
    <w:rsid w:val="004847A2"/>
    <w:rsid w:val="00485533"/>
    <w:rsid w:val="0048716C"/>
    <w:rsid w:val="00487778"/>
    <w:rsid w:val="004905A5"/>
    <w:rsid w:val="004929E2"/>
    <w:rsid w:val="00492E16"/>
    <w:rsid w:val="00497880"/>
    <w:rsid w:val="004A034D"/>
    <w:rsid w:val="004A3853"/>
    <w:rsid w:val="004A4EC1"/>
    <w:rsid w:val="004A51B1"/>
    <w:rsid w:val="004A7928"/>
    <w:rsid w:val="004A79AF"/>
    <w:rsid w:val="004B118A"/>
    <w:rsid w:val="004B14C6"/>
    <w:rsid w:val="004B152C"/>
    <w:rsid w:val="004B20EE"/>
    <w:rsid w:val="004B2752"/>
    <w:rsid w:val="004B6667"/>
    <w:rsid w:val="004B71A3"/>
    <w:rsid w:val="004C0CC9"/>
    <w:rsid w:val="004C561C"/>
    <w:rsid w:val="004C6020"/>
    <w:rsid w:val="004D28BF"/>
    <w:rsid w:val="004D461E"/>
    <w:rsid w:val="004D5744"/>
    <w:rsid w:val="004D67FD"/>
    <w:rsid w:val="004D7854"/>
    <w:rsid w:val="004E3576"/>
    <w:rsid w:val="004E45A1"/>
    <w:rsid w:val="004F03D1"/>
    <w:rsid w:val="004F03D5"/>
    <w:rsid w:val="004F0DA6"/>
    <w:rsid w:val="004F0E56"/>
    <w:rsid w:val="004F213A"/>
    <w:rsid w:val="004F29DF"/>
    <w:rsid w:val="004F2FDE"/>
    <w:rsid w:val="004F5CCB"/>
    <w:rsid w:val="00500838"/>
    <w:rsid w:val="005016FD"/>
    <w:rsid w:val="00502B69"/>
    <w:rsid w:val="005032DB"/>
    <w:rsid w:val="00505F49"/>
    <w:rsid w:val="00507622"/>
    <w:rsid w:val="00511A24"/>
    <w:rsid w:val="0051764C"/>
    <w:rsid w:val="00517745"/>
    <w:rsid w:val="0052053E"/>
    <w:rsid w:val="0052140B"/>
    <w:rsid w:val="0052156C"/>
    <w:rsid w:val="00524B4F"/>
    <w:rsid w:val="00527E98"/>
    <w:rsid w:val="00531830"/>
    <w:rsid w:val="00531EE6"/>
    <w:rsid w:val="00533442"/>
    <w:rsid w:val="00535B13"/>
    <w:rsid w:val="00537BBB"/>
    <w:rsid w:val="00540A04"/>
    <w:rsid w:val="0054550E"/>
    <w:rsid w:val="00545D9A"/>
    <w:rsid w:val="005462BB"/>
    <w:rsid w:val="00547E83"/>
    <w:rsid w:val="00553DF7"/>
    <w:rsid w:val="00554052"/>
    <w:rsid w:val="005543BB"/>
    <w:rsid w:val="00554BE3"/>
    <w:rsid w:val="00556E00"/>
    <w:rsid w:val="00561E5E"/>
    <w:rsid w:val="00561E98"/>
    <w:rsid w:val="00562B05"/>
    <w:rsid w:val="00562FC5"/>
    <w:rsid w:val="00564694"/>
    <w:rsid w:val="00565726"/>
    <w:rsid w:val="00571685"/>
    <w:rsid w:val="00572629"/>
    <w:rsid w:val="00572EAF"/>
    <w:rsid w:val="00573C3D"/>
    <w:rsid w:val="00576140"/>
    <w:rsid w:val="005778CB"/>
    <w:rsid w:val="00582C03"/>
    <w:rsid w:val="00584752"/>
    <w:rsid w:val="00585338"/>
    <w:rsid w:val="00585824"/>
    <w:rsid w:val="00587393"/>
    <w:rsid w:val="00587EC0"/>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2E9B"/>
    <w:rsid w:val="005E63F5"/>
    <w:rsid w:val="005E6C58"/>
    <w:rsid w:val="005E7B7C"/>
    <w:rsid w:val="005F039E"/>
    <w:rsid w:val="005F086E"/>
    <w:rsid w:val="005F2149"/>
    <w:rsid w:val="005F373F"/>
    <w:rsid w:val="005F3C4F"/>
    <w:rsid w:val="005F4603"/>
    <w:rsid w:val="005F5582"/>
    <w:rsid w:val="006039B5"/>
    <w:rsid w:val="006047C2"/>
    <w:rsid w:val="00606E1C"/>
    <w:rsid w:val="00607D66"/>
    <w:rsid w:val="00612924"/>
    <w:rsid w:val="0061679D"/>
    <w:rsid w:val="00622874"/>
    <w:rsid w:val="00623D21"/>
    <w:rsid w:val="006274C0"/>
    <w:rsid w:val="00627861"/>
    <w:rsid w:val="00627CBD"/>
    <w:rsid w:val="00631655"/>
    <w:rsid w:val="00636A04"/>
    <w:rsid w:val="00640AF4"/>
    <w:rsid w:val="00641A30"/>
    <w:rsid w:val="0064358C"/>
    <w:rsid w:val="00646A48"/>
    <w:rsid w:val="00647410"/>
    <w:rsid w:val="00647CFB"/>
    <w:rsid w:val="00654650"/>
    <w:rsid w:val="00655911"/>
    <w:rsid w:val="006560BF"/>
    <w:rsid w:val="006607CF"/>
    <w:rsid w:val="006615A6"/>
    <w:rsid w:val="00662B64"/>
    <w:rsid w:val="0066367B"/>
    <w:rsid w:val="0066439E"/>
    <w:rsid w:val="006644EA"/>
    <w:rsid w:val="00665C07"/>
    <w:rsid w:val="00666525"/>
    <w:rsid w:val="00666ED1"/>
    <w:rsid w:val="006745DA"/>
    <w:rsid w:val="00674E40"/>
    <w:rsid w:val="00677B75"/>
    <w:rsid w:val="006806EC"/>
    <w:rsid w:val="00680863"/>
    <w:rsid w:val="00685489"/>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32A4"/>
    <w:rsid w:val="006B4182"/>
    <w:rsid w:val="006B6F1C"/>
    <w:rsid w:val="006B74CC"/>
    <w:rsid w:val="006C4DD0"/>
    <w:rsid w:val="006C58DB"/>
    <w:rsid w:val="006C7CF9"/>
    <w:rsid w:val="006C7D0E"/>
    <w:rsid w:val="006C7D4A"/>
    <w:rsid w:val="006D512C"/>
    <w:rsid w:val="006D6EBF"/>
    <w:rsid w:val="006E0438"/>
    <w:rsid w:val="006E0F3B"/>
    <w:rsid w:val="006E356E"/>
    <w:rsid w:val="006E6AA2"/>
    <w:rsid w:val="006F0392"/>
    <w:rsid w:val="006F2F93"/>
    <w:rsid w:val="006F3D55"/>
    <w:rsid w:val="006F6327"/>
    <w:rsid w:val="006F71E0"/>
    <w:rsid w:val="00701105"/>
    <w:rsid w:val="00702E6D"/>
    <w:rsid w:val="00705AA2"/>
    <w:rsid w:val="00706D51"/>
    <w:rsid w:val="00707DD1"/>
    <w:rsid w:val="007116DF"/>
    <w:rsid w:val="00711EF2"/>
    <w:rsid w:val="00711F3A"/>
    <w:rsid w:val="00712637"/>
    <w:rsid w:val="00713EC4"/>
    <w:rsid w:val="0071738E"/>
    <w:rsid w:val="00721A01"/>
    <w:rsid w:val="00721BBF"/>
    <w:rsid w:val="007239A6"/>
    <w:rsid w:val="00733E5F"/>
    <w:rsid w:val="007359AB"/>
    <w:rsid w:val="00735EB1"/>
    <w:rsid w:val="0073624D"/>
    <w:rsid w:val="00740185"/>
    <w:rsid w:val="0074041A"/>
    <w:rsid w:val="00742C7C"/>
    <w:rsid w:val="0075486F"/>
    <w:rsid w:val="00755516"/>
    <w:rsid w:val="007568E1"/>
    <w:rsid w:val="00757CB2"/>
    <w:rsid w:val="00757E34"/>
    <w:rsid w:val="0076207F"/>
    <w:rsid w:val="00762D79"/>
    <w:rsid w:val="00763776"/>
    <w:rsid w:val="00764A2D"/>
    <w:rsid w:val="00765493"/>
    <w:rsid w:val="00771BC0"/>
    <w:rsid w:val="00772294"/>
    <w:rsid w:val="00773470"/>
    <w:rsid w:val="00773740"/>
    <w:rsid w:val="00774A2E"/>
    <w:rsid w:val="00775FA0"/>
    <w:rsid w:val="0077617D"/>
    <w:rsid w:val="00776B52"/>
    <w:rsid w:val="00777080"/>
    <w:rsid w:val="0077747B"/>
    <w:rsid w:val="00777A66"/>
    <w:rsid w:val="00781FE3"/>
    <w:rsid w:val="00784A92"/>
    <w:rsid w:val="00786423"/>
    <w:rsid w:val="00787383"/>
    <w:rsid w:val="00790449"/>
    <w:rsid w:val="00793A1F"/>
    <w:rsid w:val="0079434F"/>
    <w:rsid w:val="00794713"/>
    <w:rsid w:val="00795506"/>
    <w:rsid w:val="00797539"/>
    <w:rsid w:val="007A1536"/>
    <w:rsid w:val="007A215B"/>
    <w:rsid w:val="007A599C"/>
    <w:rsid w:val="007A59A1"/>
    <w:rsid w:val="007B27E0"/>
    <w:rsid w:val="007B4C16"/>
    <w:rsid w:val="007B6FFC"/>
    <w:rsid w:val="007B7A20"/>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5A6"/>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2B90"/>
    <w:rsid w:val="00823792"/>
    <w:rsid w:val="00826C14"/>
    <w:rsid w:val="00831597"/>
    <w:rsid w:val="00831C35"/>
    <w:rsid w:val="00832408"/>
    <w:rsid w:val="00833F5D"/>
    <w:rsid w:val="00834DB3"/>
    <w:rsid w:val="00835AC1"/>
    <w:rsid w:val="0083778F"/>
    <w:rsid w:val="00842838"/>
    <w:rsid w:val="00843994"/>
    <w:rsid w:val="00844B19"/>
    <w:rsid w:val="00846255"/>
    <w:rsid w:val="00855060"/>
    <w:rsid w:val="00863CAE"/>
    <w:rsid w:val="008644D7"/>
    <w:rsid w:val="00864EAF"/>
    <w:rsid w:val="008654A7"/>
    <w:rsid w:val="00870BCC"/>
    <w:rsid w:val="0087103D"/>
    <w:rsid w:val="00872E5E"/>
    <w:rsid w:val="008742B6"/>
    <w:rsid w:val="00876A0C"/>
    <w:rsid w:val="0088057C"/>
    <w:rsid w:val="00880B94"/>
    <w:rsid w:val="008820DB"/>
    <w:rsid w:val="00882990"/>
    <w:rsid w:val="00882B0C"/>
    <w:rsid w:val="00883F82"/>
    <w:rsid w:val="00885A46"/>
    <w:rsid w:val="00887543"/>
    <w:rsid w:val="00891775"/>
    <w:rsid w:val="00892CFA"/>
    <w:rsid w:val="00893F74"/>
    <w:rsid w:val="0089689D"/>
    <w:rsid w:val="00896AF2"/>
    <w:rsid w:val="008A2D66"/>
    <w:rsid w:val="008A3518"/>
    <w:rsid w:val="008A3C19"/>
    <w:rsid w:val="008A4319"/>
    <w:rsid w:val="008A65C4"/>
    <w:rsid w:val="008B026D"/>
    <w:rsid w:val="008B04C0"/>
    <w:rsid w:val="008B1C49"/>
    <w:rsid w:val="008B2DED"/>
    <w:rsid w:val="008B420C"/>
    <w:rsid w:val="008B513C"/>
    <w:rsid w:val="008B5210"/>
    <w:rsid w:val="008B6A0F"/>
    <w:rsid w:val="008C03F3"/>
    <w:rsid w:val="008C0E91"/>
    <w:rsid w:val="008C25D2"/>
    <w:rsid w:val="008C38B3"/>
    <w:rsid w:val="008C408D"/>
    <w:rsid w:val="008C4280"/>
    <w:rsid w:val="008C430A"/>
    <w:rsid w:val="008D0921"/>
    <w:rsid w:val="008D0E17"/>
    <w:rsid w:val="008D7786"/>
    <w:rsid w:val="008E28FE"/>
    <w:rsid w:val="008E4D95"/>
    <w:rsid w:val="008E579D"/>
    <w:rsid w:val="008E57D1"/>
    <w:rsid w:val="008E58B2"/>
    <w:rsid w:val="008E6FC6"/>
    <w:rsid w:val="008F0762"/>
    <w:rsid w:val="008F311A"/>
    <w:rsid w:val="008F3C6D"/>
    <w:rsid w:val="008F5CD9"/>
    <w:rsid w:val="008F7D8F"/>
    <w:rsid w:val="00904555"/>
    <w:rsid w:val="00905BEE"/>
    <w:rsid w:val="00910578"/>
    <w:rsid w:val="009123F6"/>
    <w:rsid w:val="0091367A"/>
    <w:rsid w:val="00914149"/>
    <w:rsid w:val="0091740B"/>
    <w:rsid w:val="00920DDC"/>
    <w:rsid w:val="0092168C"/>
    <w:rsid w:val="009238CF"/>
    <w:rsid w:val="00931751"/>
    <w:rsid w:val="009341D2"/>
    <w:rsid w:val="009354F6"/>
    <w:rsid w:val="00936366"/>
    <w:rsid w:val="009421FF"/>
    <w:rsid w:val="00944D55"/>
    <w:rsid w:val="00945CD0"/>
    <w:rsid w:val="009506D3"/>
    <w:rsid w:val="00952B9B"/>
    <w:rsid w:val="00953911"/>
    <w:rsid w:val="009551E2"/>
    <w:rsid w:val="00957FAE"/>
    <w:rsid w:val="00966245"/>
    <w:rsid w:val="00967CFA"/>
    <w:rsid w:val="009720FC"/>
    <w:rsid w:val="00972C15"/>
    <w:rsid w:val="0097652D"/>
    <w:rsid w:val="00977C55"/>
    <w:rsid w:val="00980F26"/>
    <w:rsid w:val="00983179"/>
    <w:rsid w:val="0098385F"/>
    <w:rsid w:val="00985D58"/>
    <w:rsid w:val="00985F6E"/>
    <w:rsid w:val="00986554"/>
    <w:rsid w:val="009908F3"/>
    <w:rsid w:val="009911C4"/>
    <w:rsid w:val="00994FEC"/>
    <w:rsid w:val="00995711"/>
    <w:rsid w:val="00997057"/>
    <w:rsid w:val="009A0304"/>
    <w:rsid w:val="009A25F0"/>
    <w:rsid w:val="009A77D2"/>
    <w:rsid w:val="009B0295"/>
    <w:rsid w:val="009B195A"/>
    <w:rsid w:val="009B1FA0"/>
    <w:rsid w:val="009B45B9"/>
    <w:rsid w:val="009B4D5E"/>
    <w:rsid w:val="009B5360"/>
    <w:rsid w:val="009B55DF"/>
    <w:rsid w:val="009C066D"/>
    <w:rsid w:val="009C0F7D"/>
    <w:rsid w:val="009C137B"/>
    <w:rsid w:val="009C3A77"/>
    <w:rsid w:val="009C4DA2"/>
    <w:rsid w:val="009C7B76"/>
    <w:rsid w:val="009D036D"/>
    <w:rsid w:val="009D1549"/>
    <w:rsid w:val="009D1675"/>
    <w:rsid w:val="009D32F0"/>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07FD7"/>
    <w:rsid w:val="00A105BC"/>
    <w:rsid w:val="00A120ED"/>
    <w:rsid w:val="00A1225D"/>
    <w:rsid w:val="00A12580"/>
    <w:rsid w:val="00A13BEC"/>
    <w:rsid w:val="00A13E1F"/>
    <w:rsid w:val="00A14E6E"/>
    <w:rsid w:val="00A15479"/>
    <w:rsid w:val="00A16B7A"/>
    <w:rsid w:val="00A17FF7"/>
    <w:rsid w:val="00A20F03"/>
    <w:rsid w:val="00A302EC"/>
    <w:rsid w:val="00A3184C"/>
    <w:rsid w:val="00A34145"/>
    <w:rsid w:val="00A35E36"/>
    <w:rsid w:val="00A365FE"/>
    <w:rsid w:val="00A4007A"/>
    <w:rsid w:val="00A402D9"/>
    <w:rsid w:val="00A416EF"/>
    <w:rsid w:val="00A4355E"/>
    <w:rsid w:val="00A50867"/>
    <w:rsid w:val="00A531BC"/>
    <w:rsid w:val="00A548B9"/>
    <w:rsid w:val="00A54D70"/>
    <w:rsid w:val="00A60972"/>
    <w:rsid w:val="00A60C89"/>
    <w:rsid w:val="00A62FAE"/>
    <w:rsid w:val="00A673BD"/>
    <w:rsid w:val="00A7080A"/>
    <w:rsid w:val="00A73332"/>
    <w:rsid w:val="00A75A45"/>
    <w:rsid w:val="00A77333"/>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C2AB7"/>
    <w:rsid w:val="00AC3348"/>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2273"/>
    <w:rsid w:val="00AF3B62"/>
    <w:rsid w:val="00AF4EB3"/>
    <w:rsid w:val="00AF5DCE"/>
    <w:rsid w:val="00B00BB0"/>
    <w:rsid w:val="00B05168"/>
    <w:rsid w:val="00B059B9"/>
    <w:rsid w:val="00B06070"/>
    <w:rsid w:val="00B0664E"/>
    <w:rsid w:val="00B06FC8"/>
    <w:rsid w:val="00B10F09"/>
    <w:rsid w:val="00B11AC3"/>
    <w:rsid w:val="00B13678"/>
    <w:rsid w:val="00B15D11"/>
    <w:rsid w:val="00B164E9"/>
    <w:rsid w:val="00B2789D"/>
    <w:rsid w:val="00B33895"/>
    <w:rsid w:val="00B35BCB"/>
    <w:rsid w:val="00B41A08"/>
    <w:rsid w:val="00B41B0D"/>
    <w:rsid w:val="00B41FD8"/>
    <w:rsid w:val="00B4443C"/>
    <w:rsid w:val="00B47B90"/>
    <w:rsid w:val="00B51ED8"/>
    <w:rsid w:val="00B54C50"/>
    <w:rsid w:val="00B57EDE"/>
    <w:rsid w:val="00B61505"/>
    <w:rsid w:val="00B627B4"/>
    <w:rsid w:val="00B65E76"/>
    <w:rsid w:val="00B65EB4"/>
    <w:rsid w:val="00B666C4"/>
    <w:rsid w:val="00B669C5"/>
    <w:rsid w:val="00B70842"/>
    <w:rsid w:val="00B74EB6"/>
    <w:rsid w:val="00B751F0"/>
    <w:rsid w:val="00B761D4"/>
    <w:rsid w:val="00B766AC"/>
    <w:rsid w:val="00B77E38"/>
    <w:rsid w:val="00B8116C"/>
    <w:rsid w:val="00B83095"/>
    <w:rsid w:val="00B84F49"/>
    <w:rsid w:val="00B91F1D"/>
    <w:rsid w:val="00B930AB"/>
    <w:rsid w:val="00B94AD0"/>
    <w:rsid w:val="00B951B0"/>
    <w:rsid w:val="00BA458D"/>
    <w:rsid w:val="00BA7BA8"/>
    <w:rsid w:val="00BA7DE6"/>
    <w:rsid w:val="00BA7FE5"/>
    <w:rsid w:val="00BB5224"/>
    <w:rsid w:val="00BC0057"/>
    <w:rsid w:val="00BC0CA3"/>
    <w:rsid w:val="00BC2CDF"/>
    <w:rsid w:val="00BC3216"/>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760"/>
    <w:rsid w:val="00BE5DDE"/>
    <w:rsid w:val="00BE7832"/>
    <w:rsid w:val="00BE7A10"/>
    <w:rsid w:val="00BF0A1C"/>
    <w:rsid w:val="00BF52F2"/>
    <w:rsid w:val="00BF6B2F"/>
    <w:rsid w:val="00C0068E"/>
    <w:rsid w:val="00C01168"/>
    <w:rsid w:val="00C023DA"/>
    <w:rsid w:val="00C0262F"/>
    <w:rsid w:val="00C0324E"/>
    <w:rsid w:val="00C047E8"/>
    <w:rsid w:val="00C06182"/>
    <w:rsid w:val="00C21134"/>
    <w:rsid w:val="00C212EA"/>
    <w:rsid w:val="00C227AE"/>
    <w:rsid w:val="00C25C94"/>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801B5"/>
    <w:rsid w:val="00C91EEB"/>
    <w:rsid w:val="00C920D7"/>
    <w:rsid w:val="00C93980"/>
    <w:rsid w:val="00C957E9"/>
    <w:rsid w:val="00CA1E95"/>
    <w:rsid w:val="00CA36FA"/>
    <w:rsid w:val="00CA532C"/>
    <w:rsid w:val="00CA5976"/>
    <w:rsid w:val="00CA5B7D"/>
    <w:rsid w:val="00CA6404"/>
    <w:rsid w:val="00CA646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C7761"/>
    <w:rsid w:val="00CD3212"/>
    <w:rsid w:val="00CD36D8"/>
    <w:rsid w:val="00CE1B5C"/>
    <w:rsid w:val="00CE2073"/>
    <w:rsid w:val="00CE61C3"/>
    <w:rsid w:val="00CE6617"/>
    <w:rsid w:val="00CE6AFC"/>
    <w:rsid w:val="00CE7012"/>
    <w:rsid w:val="00CE7A6E"/>
    <w:rsid w:val="00CF023B"/>
    <w:rsid w:val="00CF06A0"/>
    <w:rsid w:val="00CF493D"/>
    <w:rsid w:val="00CF56B7"/>
    <w:rsid w:val="00CF6C4E"/>
    <w:rsid w:val="00CF7F9B"/>
    <w:rsid w:val="00D00BD7"/>
    <w:rsid w:val="00D00BFC"/>
    <w:rsid w:val="00D012D3"/>
    <w:rsid w:val="00D02C9C"/>
    <w:rsid w:val="00D042D8"/>
    <w:rsid w:val="00D05378"/>
    <w:rsid w:val="00D0658B"/>
    <w:rsid w:val="00D108C9"/>
    <w:rsid w:val="00D10F51"/>
    <w:rsid w:val="00D128DA"/>
    <w:rsid w:val="00D12DE0"/>
    <w:rsid w:val="00D16D90"/>
    <w:rsid w:val="00D21D1D"/>
    <w:rsid w:val="00D307DC"/>
    <w:rsid w:val="00D34F5C"/>
    <w:rsid w:val="00D35E15"/>
    <w:rsid w:val="00D36522"/>
    <w:rsid w:val="00D3685B"/>
    <w:rsid w:val="00D37040"/>
    <w:rsid w:val="00D377AE"/>
    <w:rsid w:val="00D4059E"/>
    <w:rsid w:val="00D40AC3"/>
    <w:rsid w:val="00D40B17"/>
    <w:rsid w:val="00D41A63"/>
    <w:rsid w:val="00D420E2"/>
    <w:rsid w:val="00D47017"/>
    <w:rsid w:val="00D51DF9"/>
    <w:rsid w:val="00D53F78"/>
    <w:rsid w:val="00D54258"/>
    <w:rsid w:val="00D54A88"/>
    <w:rsid w:val="00D57BE7"/>
    <w:rsid w:val="00D57F20"/>
    <w:rsid w:val="00D57F29"/>
    <w:rsid w:val="00D6246D"/>
    <w:rsid w:val="00D639C9"/>
    <w:rsid w:val="00D6481C"/>
    <w:rsid w:val="00D65725"/>
    <w:rsid w:val="00D66388"/>
    <w:rsid w:val="00D71169"/>
    <w:rsid w:val="00D712FD"/>
    <w:rsid w:val="00D71B58"/>
    <w:rsid w:val="00D7262A"/>
    <w:rsid w:val="00D72E2B"/>
    <w:rsid w:val="00D72E50"/>
    <w:rsid w:val="00D73DEE"/>
    <w:rsid w:val="00D775D4"/>
    <w:rsid w:val="00D80840"/>
    <w:rsid w:val="00D83750"/>
    <w:rsid w:val="00D837B6"/>
    <w:rsid w:val="00D83BB2"/>
    <w:rsid w:val="00D8732D"/>
    <w:rsid w:val="00D903AC"/>
    <w:rsid w:val="00D9131C"/>
    <w:rsid w:val="00D9204A"/>
    <w:rsid w:val="00D92A2D"/>
    <w:rsid w:val="00D9633C"/>
    <w:rsid w:val="00DA01AD"/>
    <w:rsid w:val="00DA11F0"/>
    <w:rsid w:val="00DA233A"/>
    <w:rsid w:val="00DA33E2"/>
    <w:rsid w:val="00DB0146"/>
    <w:rsid w:val="00DB1BDC"/>
    <w:rsid w:val="00DB20BE"/>
    <w:rsid w:val="00DB53ED"/>
    <w:rsid w:val="00DB6896"/>
    <w:rsid w:val="00DB6D65"/>
    <w:rsid w:val="00DB6F8E"/>
    <w:rsid w:val="00DB7BD0"/>
    <w:rsid w:val="00DC0A89"/>
    <w:rsid w:val="00DC1F17"/>
    <w:rsid w:val="00DD1FB4"/>
    <w:rsid w:val="00DD41B1"/>
    <w:rsid w:val="00DD7C05"/>
    <w:rsid w:val="00DE0A12"/>
    <w:rsid w:val="00DE554D"/>
    <w:rsid w:val="00DE7EF7"/>
    <w:rsid w:val="00DF0CA2"/>
    <w:rsid w:val="00DF3A8E"/>
    <w:rsid w:val="00DF43D2"/>
    <w:rsid w:val="00DF44AF"/>
    <w:rsid w:val="00DF4810"/>
    <w:rsid w:val="00DF4D8A"/>
    <w:rsid w:val="00DF62AE"/>
    <w:rsid w:val="00DF7FF9"/>
    <w:rsid w:val="00E007CC"/>
    <w:rsid w:val="00E027FA"/>
    <w:rsid w:val="00E042AC"/>
    <w:rsid w:val="00E04FD5"/>
    <w:rsid w:val="00E05454"/>
    <w:rsid w:val="00E06025"/>
    <w:rsid w:val="00E06A7E"/>
    <w:rsid w:val="00E06E94"/>
    <w:rsid w:val="00E06FFE"/>
    <w:rsid w:val="00E07CED"/>
    <w:rsid w:val="00E10BA5"/>
    <w:rsid w:val="00E1472B"/>
    <w:rsid w:val="00E1502A"/>
    <w:rsid w:val="00E1700A"/>
    <w:rsid w:val="00E17E04"/>
    <w:rsid w:val="00E223E7"/>
    <w:rsid w:val="00E240DE"/>
    <w:rsid w:val="00E26A6C"/>
    <w:rsid w:val="00E26CE4"/>
    <w:rsid w:val="00E26F83"/>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1702"/>
    <w:rsid w:val="00E727B4"/>
    <w:rsid w:val="00E736A5"/>
    <w:rsid w:val="00E74523"/>
    <w:rsid w:val="00E74763"/>
    <w:rsid w:val="00E752B9"/>
    <w:rsid w:val="00E77E75"/>
    <w:rsid w:val="00E8177D"/>
    <w:rsid w:val="00E81973"/>
    <w:rsid w:val="00E819DD"/>
    <w:rsid w:val="00E82D60"/>
    <w:rsid w:val="00E91D0C"/>
    <w:rsid w:val="00E91FB9"/>
    <w:rsid w:val="00E96050"/>
    <w:rsid w:val="00E978AC"/>
    <w:rsid w:val="00E97C35"/>
    <w:rsid w:val="00EA0C96"/>
    <w:rsid w:val="00EA2E0F"/>
    <w:rsid w:val="00EA2FC3"/>
    <w:rsid w:val="00EA313C"/>
    <w:rsid w:val="00EB321F"/>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073"/>
    <w:rsid w:val="00ED7207"/>
    <w:rsid w:val="00EE3919"/>
    <w:rsid w:val="00EE5456"/>
    <w:rsid w:val="00EE6EA9"/>
    <w:rsid w:val="00EE7F12"/>
    <w:rsid w:val="00EF18BE"/>
    <w:rsid w:val="00EF26ED"/>
    <w:rsid w:val="00EF2C5C"/>
    <w:rsid w:val="00EF3C34"/>
    <w:rsid w:val="00EF4410"/>
    <w:rsid w:val="00EF52D1"/>
    <w:rsid w:val="00EF77EA"/>
    <w:rsid w:val="00F004A9"/>
    <w:rsid w:val="00F01AA9"/>
    <w:rsid w:val="00F026E7"/>
    <w:rsid w:val="00F029C7"/>
    <w:rsid w:val="00F03812"/>
    <w:rsid w:val="00F04114"/>
    <w:rsid w:val="00F05048"/>
    <w:rsid w:val="00F06B0F"/>
    <w:rsid w:val="00F073A3"/>
    <w:rsid w:val="00F134C9"/>
    <w:rsid w:val="00F20D02"/>
    <w:rsid w:val="00F22374"/>
    <w:rsid w:val="00F22666"/>
    <w:rsid w:val="00F2357C"/>
    <w:rsid w:val="00F235DD"/>
    <w:rsid w:val="00F24F3E"/>
    <w:rsid w:val="00F250C7"/>
    <w:rsid w:val="00F27EC1"/>
    <w:rsid w:val="00F327F0"/>
    <w:rsid w:val="00F36F38"/>
    <w:rsid w:val="00F37296"/>
    <w:rsid w:val="00F404B6"/>
    <w:rsid w:val="00F40665"/>
    <w:rsid w:val="00F50D6F"/>
    <w:rsid w:val="00F550AF"/>
    <w:rsid w:val="00F56B29"/>
    <w:rsid w:val="00F57CE6"/>
    <w:rsid w:val="00F62C9A"/>
    <w:rsid w:val="00F63751"/>
    <w:rsid w:val="00F66041"/>
    <w:rsid w:val="00F6762D"/>
    <w:rsid w:val="00F678B8"/>
    <w:rsid w:val="00F70C98"/>
    <w:rsid w:val="00F71AC6"/>
    <w:rsid w:val="00F745A9"/>
    <w:rsid w:val="00F745B2"/>
    <w:rsid w:val="00F752C0"/>
    <w:rsid w:val="00F92383"/>
    <w:rsid w:val="00F93584"/>
    <w:rsid w:val="00F93C80"/>
    <w:rsid w:val="00F9492A"/>
    <w:rsid w:val="00F94E9E"/>
    <w:rsid w:val="00F95D7A"/>
    <w:rsid w:val="00F9648F"/>
    <w:rsid w:val="00FA03D2"/>
    <w:rsid w:val="00FA0E6C"/>
    <w:rsid w:val="00FA3AA0"/>
    <w:rsid w:val="00FA4471"/>
    <w:rsid w:val="00FA4DEF"/>
    <w:rsid w:val="00FA5FFB"/>
    <w:rsid w:val="00FB056C"/>
    <w:rsid w:val="00FB08E0"/>
    <w:rsid w:val="00FB18B6"/>
    <w:rsid w:val="00FB21A6"/>
    <w:rsid w:val="00FB282D"/>
    <w:rsid w:val="00FB39D6"/>
    <w:rsid w:val="00FB46BC"/>
    <w:rsid w:val="00FB59A3"/>
    <w:rsid w:val="00FB6BBD"/>
    <w:rsid w:val="00FC0FF4"/>
    <w:rsid w:val="00FC1A9C"/>
    <w:rsid w:val="00FC5F35"/>
    <w:rsid w:val="00FD0AAE"/>
    <w:rsid w:val="00FD28A3"/>
    <w:rsid w:val="00FD5B0B"/>
    <w:rsid w:val="00FE0629"/>
    <w:rsid w:val="00FE0C80"/>
    <w:rsid w:val="00FE0CC8"/>
    <w:rsid w:val="00FE2DBA"/>
    <w:rsid w:val="00FF1CDC"/>
    <w:rsid w:val="00FF3924"/>
    <w:rsid w:val="00FF3B16"/>
    <w:rsid w:val="00FF5258"/>
    <w:rsid w:val="00FF623D"/>
    <w:rsid w:val="01E07B64"/>
    <w:rsid w:val="02360C51"/>
    <w:rsid w:val="02965E62"/>
    <w:rsid w:val="02C73098"/>
    <w:rsid w:val="02FFF61C"/>
    <w:rsid w:val="03550AD3"/>
    <w:rsid w:val="0414C858"/>
    <w:rsid w:val="044020DF"/>
    <w:rsid w:val="04718244"/>
    <w:rsid w:val="05FF20CE"/>
    <w:rsid w:val="068D59BA"/>
    <w:rsid w:val="06DAE4F5"/>
    <w:rsid w:val="06F437D2"/>
    <w:rsid w:val="083D6CD3"/>
    <w:rsid w:val="08EBA9CC"/>
    <w:rsid w:val="092AAA13"/>
    <w:rsid w:val="09C92F99"/>
    <w:rsid w:val="0BCB5D12"/>
    <w:rsid w:val="0C1D845D"/>
    <w:rsid w:val="0C8F4E4D"/>
    <w:rsid w:val="0D9709C6"/>
    <w:rsid w:val="0E39070A"/>
    <w:rsid w:val="0E69E0B6"/>
    <w:rsid w:val="1015392F"/>
    <w:rsid w:val="10911D3F"/>
    <w:rsid w:val="10A5826A"/>
    <w:rsid w:val="10B27F72"/>
    <w:rsid w:val="110B0C75"/>
    <w:rsid w:val="117BEC08"/>
    <w:rsid w:val="120F1B6F"/>
    <w:rsid w:val="123BB985"/>
    <w:rsid w:val="12C033F5"/>
    <w:rsid w:val="12CD0E5A"/>
    <w:rsid w:val="12CDCAA2"/>
    <w:rsid w:val="1395EBC4"/>
    <w:rsid w:val="139816F2"/>
    <w:rsid w:val="13DB4BBA"/>
    <w:rsid w:val="14DE36E6"/>
    <w:rsid w:val="15517448"/>
    <w:rsid w:val="15865183"/>
    <w:rsid w:val="15E449C4"/>
    <w:rsid w:val="166A221F"/>
    <w:rsid w:val="17608433"/>
    <w:rsid w:val="178AEBDE"/>
    <w:rsid w:val="17B710DD"/>
    <w:rsid w:val="18C5A8DF"/>
    <w:rsid w:val="18E27CD6"/>
    <w:rsid w:val="196E36A2"/>
    <w:rsid w:val="19ECC9F7"/>
    <w:rsid w:val="1ACC0F7D"/>
    <w:rsid w:val="1AD45F4D"/>
    <w:rsid w:val="1E28B651"/>
    <w:rsid w:val="1E711A02"/>
    <w:rsid w:val="1E7339C8"/>
    <w:rsid w:val="1EC5BED5"/>
    <w:rsid w:val="1ED34B82"/>
    <w:rsid w:val="1F3A09D9"/>
    <w:rsid w:val="1F49FAC6"/>
    <w:rsid w:val="1FA95B9A"/>
    <w:rsid w:val="1FDC0799"/>
    <w:rsid w:val="1FE4495C"/>
    <w:rsid w:val="20346491"/>
    <w:rsid w:val="2060D9F1"/>
    <w:rsid w:val="20AB0435"/>
    <w:rsid w:val="20D2BE52"/>
    <w:rsid w:val="21442D68"/>
    <w:rsid w:val="219AA36B"/>
    <w:rsid w:val="21C12190"/>
    <w:rsid w:val="2331C47E"/>
    <w:rsid w:val="25065C98"/>
    <w:rsid w:val="251FD5F3"/>
    <w:rsid w:val="2569685F"/>
    <w:rsid w:val="258FAFDA"/>
    <w:rsid w:val="25BB7CD5"/>
    <w:rsid w:val="266986CA"/>
    <w:rsid w:val="26E72217"/>
    <w:rsid w:val="27968BB1"/>
    <w:rsid w:val="27E3458F"/>
    <w:rsid w:val="28386EB0"/>
    <w:rsid w:val="29158524"/>
    <w:rsid w:val="2980119D"/>
    <w:rsid w:val="2A13A651"/>
    <w:rsid w:val="2A4345EA"/>
    <w:rsid w:val="2A4791F8"/>
    <w:rsid w:val="2B3E9929"/>
    <w:rsid w:val="2B77EBF0"/>
    <w:rsid w:val="2BECC820"/>
    <w:rsid w:val="2C1C53C2"/>
    <w:rsid w:val="2C2CA636"/>
    <w:rsid w:val="2E22D8D3"/>
    <w:rsid w:val="2F6BE494"/>
    <w:rsid w:val="30D103C4"/>
    <w:rsid w:val="31503F5F"/>
    <w:rsid w:val="31926DA2"/>
    <w:rsid w:val="31934B10"/>
    <w:rsid w:val="3228A91A"/>
    <w:rsid w:val="327BB34B"/>
    <w:rsid w:val="3504D67A"/>
    <w:rsid w:val="35374B10"/>
    <w:rsid w:val="35A7E750"/>
    <w:rsid w:val="3662AB0F"/>
    <w:rsid w:val="36791AD4"/>
    <w:rsid w:val="367C5AA9"/>
    <w:rsid w:val="38D5D05C"/>
    <w:rsid w:val="38D978F4"/>
    <w:rsid w:val="3AEBCC42"/>
    <w:rsid w:val="3C37CF33"/>
    <w:rsid w:val="3C513FA0"/>
    <w:rsid w:val="3CD3BFA0"/>
    <w:rsid w:val="3CEAC053"/>
    <w:rsid w:val="3D210A54"/>
    <w:rsid w:val="3D582548"/>
    <w:rsid w:val="3F3E81BB"/>
    <w:rsid w:val="3FB5BF42"/>
    <w:rsid w:val="3FE97EA4"/>
    <w:rsid w:val="40E370A3"/>
    <w:rsid w:val="41ACF1C2"/>
    <w:rsid w:val="420C806D"/>
    <w:rsid w:val="425632A9"/>
    <w:rsid w:val="433A927C"/>
    <w:rsid w:val="434F1FFC"/>
    <w:rsid w:val="441AF38D"/>
    <w:rsid w:val="44998507"/>
    <w:rsid w:val="450A3C4B"/>
    <w:rsid w:val="451F5AA2"/>
    <w:rsid w:val="452A0057"/>
    <w:rsid w:val="45A0D9D5"/>
    <w:rsid w:val="460C098A"/>
    <w:rsid w:val="4724F3A4"/>
    <w:rsid w:val="47827FF4"/>
    <w:rsid w:val="47A75EF3"/>
    <w:rsid w:val="4835E320"/>
    <w:rsid w:val="48831107"/>
    <w:rsid w:val="490EC50D"/>
    <w:rsid w:val="4A308483"/>
    <w:rsid w:val="4ADE569E"/>
    <w:rsid w:val="4ADFCA51"/>
    <w:rsid w:val="4AFE0E07"/>
    <w:rsid w:val="4C34CBC1"/>
    <w:rsid w:val="4CE9BBEC"/>
    <w:rsid w:val="4D2765B6"/>
    <w:rsid w:val="4D711E27"/>
    <w:rsid w:val="4D73C543"/>
    <w:rsid w:val="4D76B8DA"/>
    <w:rsid w:val="4DB60EFB"/>
    <w:rsid w:val="4EB41EED"/>
    <w:rsid w:val="4FD4D415"/>
    <w:rsid w:val="50A373FD"/>
    <w:rsid w:val="526FBE13"/>
    <w:rsid w:val="53027F2D"/>
    <w:rsid w:val="5313FE0D"/>
    <w:rsid w:val="552ADE34"/>
    <w:rsid w:val="558BCFE8"/>
    <w:rsid w:val="55AD67B3"/>
    <w:rsid w:val="5605C0D3"/>
    <w:rsid w:val="56368D99"/>
    <w:rsid w:val="5658F365"/>
    <w:rsid w:val="5732D593"/>
    <w:rsid w:val="57AE7373"/>
    <w:rsid w:val="5803637C"/>
    <w:rsid w:val="587C7AD5"/>
    <w:rsid w:val="58C6DB96"/>
    <w:rsid w:val="58C8CD55"/>
    <w:rsid w:val="59DC229E"/>
    <w:rsid w:val="59EBC7E0"/>
    <w:rsid w:val="5A8D52FD"/>
    <w:rsid w:val="5A9AB3F2"/>
    <w:rsid w:val="5BCF46E1"/>
    <w:rsid w:val="5BFA3D4D"/>
    <w:rsid w:val="5C3BB21F"/>
    <w:rsid w:val="5CC44CCF"/>
    <w:rsid w:val="5CFE5C62"/>
    <w:rsid w:val="5D89AF46"/>
    <w:rsid w:val="5EB829D1"/>
    <w:rsid w:val="5EED68C4"/>
    <w:rsid w:val="5F1FB493"/>
    <w:rsid w:val="620922E4"/>
    <w:rsid w:val="63131EA7"/>
    <w:rsid w:val="65379AF5"/>
    <w:rsid w:val="6547BE1A"/>
    <w:rsid w:val="65F72685"/>
    <w:rsid w:val="67AE0AFA"/>
    <w:rsid w:val="6833DD57"/>
    <w:rsid w:val="688F79A8"/>
    <w:rsid w:val="68AC768D"/>
    <w:rsid w:val="6962B6A2"/>
    <w:rsid w:val="69AB47A3"/>
    <w:rsid w:val="6B956923"/>
    <w:rsid w:val="6C5A1292"/>
    <w:rsid w:val="6C77AA11"/>
    <w:rsid w:val="6CEF086C"/>
    <w:rsid w:val="6D35E929"/>
    <w:rsid w:val="6D6EC35B"/>
    <w:rsid w:val="6D79DE19"/>
    <w:rsid w:val="6DC56BFA"/>
    <w:rsid w:val="6E6399A3"/>
    <w:rsid w:val="6E7C8C1E"/>
    <w:rsid w:val="6E81771E"/>
    <w:rsid w:val="6EA2B1D3"/>
    <w:rsid w:val="6F110193"/>
    <w:rsid w:val="6F472FC4"/>
    <w:rsid w:val="702F919F"/>
    <w:rsid w:val="70BA04F6"/>
    <w:rsid w:val="7199ADE2"/>
    <w:rsid w:val="71A84E8B"/>
    <w:rsid w:val="73C7BC35"/>
    <w:rsid w:val="73E46E11"/>
    <w:rsid w:val="747A3730"/>
    <w:rsid w:val="74812688"/>
    <w:rsid w:val="74E13ECE"/>
    <w:rsid w:val="7569D6D8"/>
    <w:rsid w:val="77F2F614"/>
    <w:rsid w:val="77F5635C"/>
    <w:rsid w:val="781D5DA6"/>
    <w:rsid w:val="79467CE7"/>
    <w:rsid w:val="7A084E6F"/>
    <w:rsid w:val="7A1C404B"/>
    <w:rsid w:val="7AE86322"/>
    <w:rsid w:val="7AF1A5F9"/>
    <w:rsid w:val="7AF68E44"/>
    <w:rsid w:val="7BF96BB5"/>
    <w:rsid w:val="7C36D828"/>
    <w:rsid w:val="7C97879A"/>
    <w:rsid w:val="7CAB45D5"/>
    <w:rsid w:val="7CB6DC0B"/>
    <w:rsid w:val="7CD40411"/>
    <w:rsid w:val="7D1F8D91"/>
    <w:rsid w:val="7D21DD6A"/>
    <w:rsid w:val="7DB43444"/>
    <w:rsid w:val="7DEAA50A"/>
    <w:rsid w:val="7DF69E49"/>
    <w:rsid w:val="7DFFDF11"/>
    <w:rsid w:val="7E31194B"/>
    <w:rsid w:val="7E5F4E0F"/>
    <w:rsid w:val="7E68A8D9"/>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304B6F91-90E0-4202-A645-283470FF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Titre1">
    <w:name w:val="heading 1"/>
    <w:basedOn w:val="Normal"/>
    <w:next w:val="Normal"/>
    <w:link w:val="Titre1C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0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E00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E00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E00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E00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00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00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00A2"/>
    <w:rPr>
      <w:rFonts w:eastAsiaTheme="majorEastAsia" w:cstheme="majorBidi"/>
      <w:color w:val="272727" w:themeColor="text1" w:themeTint="D8"/>
    </w:rPr>
  </w:style>
  <w:style w:type="paragraph" w:styleId="Titre">
    <w:name w:val="Title"/>
    <w:basedOn w:val="Normal"/>
    <w:next w:val="Normal"/>
    <w:link w:val="TitreC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00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00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00A2"/>
    <w:pPr>
      <w:spacing w:before="160"/>
      <w:jc w:val="center"/>
    </w:pPr>
    <w:rPr>
      <w:i/>
      <w:iCs/>
      <w:color w:val="404040" w:themeColor="text1" w:themeTint="BF"/>
    </w:rPr>
  </w:style>
  <w:style w:type="character" w:customStyle="1" w:styleId="CitationCar">
    <w:name w:val="Citation Car"/>
    <w:basedOn w:val="Policepardfaut"/>
    <w:link w:val="Citation"/>
    <w:uiPriority w:val="29"/>
    <w:rsid w:val="000E00A2"/>
    <w:rPr>
      <w:i/>
      <w:iCs/>
      <w:color w:val="404040" w:themeColor="text1" w:themeTint="BF"/>
    </w:rPr>
  </w:style>
  <w:style w:type="paragraph" w:styleId="Paragraphedeliste">
    <w:name w:val="List Paragraph"/>
    <w:basedOn w:val="Normal"/>
    <w:uiPriority w:val="34"/>
    <w:qFormat/>
    <w:rsid w:val="000E00A2"/>
    <w:pPr>
      <w:ind w:left="720"/>
      <w:contextualSpacing/>
    </w:pPr>
  </w:style>
  <w:style w:type="character" w:styleId="Accentuationintense">
    <w:name w:val="Intense Emphasis"/>
    <w:basedOn w:val="Policepardfaut"/>
    <w:uiPriority w:val="21"/>
    <w:qFormat/>
    <w:rsid w:val="000E00A2"/>
    <w:rPr>
      <w:i/>
      <w:iCs/>
      <w:color w:val="2F5496" w:themeColor="accent1" w:themeShade="BF"/>
    </w:rPr>
  </w:style>
  <w:style w:type="paragraph" w:styleId="Citationintense">
    <w:name w:val="Intense Quote"/>
    <w:basedOn w:val="Normal"/>
    <w:next w:val="Normal"/>
    <w:link w:val="CitationintenseC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00A2"/>
    <w:rPr>
      <w:i/>
      <w:iCs/>
      <w:color w:val="2F5496" w:themeColor="accent1" w:themeShade="BF"/>
    </w:rPr>
  </w:style>
  <w:style w:type="character" w:styleId="Rfrenceintense">
    <w:name w:val="Intense Reference"/>
    <w:basedOn w:val="Policepardfaut"/>
    <w:uiPriority w:val="32"/>
    <w:qFormat/>
    <w:rsid w:val="000E00A2"/>
    <w:rPr>
      <w:b/>
      <w:bCs/>
      <w:smallCaps/>
      <w:color w:val="2F5496" w:themeColor="accent1" w:themeShade="BF"/>
      <w:spacing w:val="5"/>
    </w:rPr>
  </w:style>
  <w:style w:type="character" w:styleId="Lienhypertexte">
    <w:name w:val="Hyperlink"/>
    <w:rsid w:val="00A931FB"/>
    <w:rPr>
      <w:u w:val="single"/>
    </w:rPr>
  </w:style>
  <w:style w:type="paragraph" w:styleId="En-tte">
    <w:name w:val="header"/>
    <w:link w:val="En-tteC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En-tteCar">
    <w:name w:val="En-tête Car"/>
    <w:basedOn w:val="Policepardfaut"/>
    <w:link w:val="En-tte"/>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Pieddepage">
    <w:name w:val="footer"/>
    <w:link w:val="PieddepageC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PieddepageCar">
    <w:name w:val="Pied de page Car"/>
    <w:basedOn w:val="Policepardfaut"/>
    <w:link w:val="Pieddepage"/>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Policepardfau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vision">
    <w:name w:val="Revision"/>
    <w:hidden/>
    <w:uiPriority w:val="99"/>
    <w:semiHidden/>
    <w:rsid w:val="00DD1FB4"/>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354F6"/>
    <w:rPr>
      <w:b/>
      <w:bCs/>
    </w:rPr>
  </w:style>
  <w:style w:type="character" w:customStyle="1" w:styleId="ObjetducommentaireCar">
    <w:name w:val="Objet du commentaire Car"/>
    <w:basedOn w:val="CommentaireCar"/>
    <w:link w:val="Objetducommentaire"/>
    <w:uiPriority w:val="99"/>
    <w:semiHidden/>
    <w:rsid w:val="009354F6"/>
    <w:rPr>
      <w:b/>
      <w:bCs/>
      <w:sz w:val="20"/>
      <w:szCs w:val="20"/>
    </w:rPr>
  </w:style>
  <w:style w:type="character" w:styleId="Mention">
    <w:name w:val="Mention"/>
    <w:basedOn w:val="Policepardfaut"/>
    <w:uiPriority w:val="99"/>
    <w:unhideWhenUsed/>
    <w:rsid w:val="0077747B"/>
    <w:rPr>
      <w:color w:val="2B579A"/>
      <w:shd w:val="clear" w:color="auto" w:fill="E1DFDD"/>
    </w:rPr>
  </w:style>
  <w:style w:type="character" w:styleId="Mentionnonrsolue">
    <w:name w:val="Unresolved Mention"/>
    <w:basedOn w:val="Policepardfaut"/>
    <w:uiPriority w:val="99"/>
    <w:semiHidden/>
    <w:unhideWhenUsed/>
    <w:rsid w:val="002538F0"/>
    <w:rPr>
      <w:color w:val="605E5C"/>
      <w:shd w:val="clear" w:color="auto" w:fill="E1DFDD"/>
    </w:rPr>
  </w:style>
  <w:style w:type="character" w:styleId="Lienhypertextesuivivisit">
    <w:name w:val="FollowedHyperlink"/>
    <w:basedOn w:val="Policepardfaut"/>
    <w:uiPriority w:val="99"/>
    <w:semiHidden/>
    <w:unhideWhenUsed/>
    <w:rsid w:val="00C535F0"/>
    <w:rPr>
      <w:color w:val="954F72" w:themeColor="followedHyperlink"/>
      <w:u w:val="single"/>
    </w:rPr>
  </w:style>
  <w:style w:type="character" w:customStyle="1" w:styleId="apple-converted-space">
    <w:name w:val="apple-converted-space"/>
    <w:basedOn w:val="Policepardfaut"/>
    <w:rsid w:val="00442F85"/>
  </w:style>
  <w:style w:type="character" w:styleId="lev">
    <w:name w:val="Strong"/>
    <w:basedOn w:val="Policepardfaut"/>
    <w:uiPriority w:val="22"/>
    <w:qFormat/>
    <w:rsid w:val="00442F85"/>
    <w:rPr>
      <w:b/>
      <w:bCs/>
    </w:rPr>
  </w:style>
  <w:style w:type="paragraph" w:customStyle="1" w:styleId="isselectedend">
    <w:name w:val="isselectedend"/>
    <w:basedOn w:val="Normal"/>
    <w:rsid w:val="00442F85"/>
    <w:pPr>
      <w:spacing w:before="100" w:beforeAutospacing="1" w:after="100" w:afterAutospacing="1"/>
    </w:pPr>
    <w:rPr>
      <w:rFonts w:ascii="Times New Roman" w:eastAsia="Times New Roman" w:hAnsi="Times New Roman" w:cs="Times New Roman"/>
      <w:kern w:val="0"/>
      <w:sz w:val="24"/>
      <w:szCs w:val="24"/>
      <w:lang w:val="fr-FR" w:eastAsia="fr-FR"/>
      <w14:ligatures w14:val="none"/>
    </w:rPr>
  </w:style>
  <w:style w:type="paragraph" w:styleId="NormalWeb">
    <w:name w:val="Normal (Web)"/>
    <w:basedOn w:val="Normal"/>
    <w:uiPriority w:val="99"/>
    <w:semiHidden/>
    <w:unhideWhenUsed/>
    <w:rsid w:val="00442F85"/>
    <w:pPr>
      <w:spacing w:before="100" w:beforeAutospacing="1" w:after="100" w:afterAutospacing="1"/>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nheiser-hear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ennheis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A80B542-9FE3-4E1C-9CCA-D18510CE3B60}">
    <t:Anchor>
      <t:Comment id="1925389511"/>
    </t:Anchor>
    <t:History>
      <t:Event id="{D797353F-5327-4D35-A296-2AF5D0CF73D4}" time="2026-05-20T17:41:13.119Z">
        <t:Attribution userId="S::jns02@acuitysso.com::75a01ba9-6376-4156-8c09-488e40e4bd73" userProvider="AD" userName="Smith, Jen N"/>
        <t:Anchor>
          <t:Comment id="1925389511"/>
        </t:Anchor>
        <t:Create/>
      </t:Event>
      <t:Event id="{B5459ABC-69A4-4588-B019-1EA3CECBB747}" time="2026-05-20T17:41:13.119Z">
        <t:Attribution userId="S::jns02@acuitysso.com::75a01ba9-6376-4156-8c09-488e40e4bd73" userProvider="AD" userName="Smith, Jen N"/>
        <t:Anchor>
          <t:Comment id="1925389511"/>
        </t:Anchor>
        <t:Assign userId="S::GDE02@acuitysso.com::b042890d-a9c7-4ac1-ac98-3f594da44eed" userProvider="AD" userName="Evans, Gary D"/>
      </t:Event>
      <t:Event id="{5C55B62B-632F-4ACB-8E71-F927EFD15C2E}" time="2026-05-20T17:41:13.119Z">
        <t:Attribution userId="S::jns02@acuitysso.com::75a01ba9-6376-4156-8c09-488e40e4bd73" userProvider="AD" userName="Smith, Jen N"/>
        <t:Anchor>
          <t:Comment id="1925389511"/>
        </t:Anchor>
        <t:SetTitle title="@Evans, Gary D - I would change your employer to Acuity Intelligent Spaces OR QS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ée un document." ma:contentTypeScope="" ma:versionID="0435efe94e22da9669ac0f2ed95a173d">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5fac24bddb486a99544c58005b05c38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f824b72d-9550-4000-af49-48a701730a58"/>
    <ds:schemaRef ds:uri="a1a6f893-8510-4423-aef8-e90ae9d508d3"/>
    <ds:schemaRef ds:uri="3aa8ab54-692f-412c-b4a7-0dbeabc80c8b"/>
  </ds:schemaRefs>
</ds:datastoreItem>
</file>

<file path=customXml/itemProps3.xml><?xml version="1.0" encoding="utf-8"?>
<ds:datastoreItem xmlns:ds="http://schemas.openxmlformats.org/officeDocument/2006/customXml" ds:itemID="{6A671182-ABBD-4053-B6F5-98E1E59CA220}"/>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 id="{caadbe96-024e-4f67-82ec-fb28ff53d16d}" enabled="0" method="" siteId="{caadbe96-024e-4f67-82ec-fb28ff53d16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Vermont, Ann</cp:lastModifiedBy>
  <cp:revision>3</cp:revision>
  <dcterms:created xsi:type="dcterms:W3CDTF">2026-06-05T13:53:00Z</dcterms:created>
  <dcterms:modified xsi:type="dcterms:W3CDTF">2026-06-05T13:55:00Z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y fmtid="{D5CDD505-2E9C-101B-9397-08002B2CF9AE}" pid="10" name="docLang">
    <vt:lpwstr>en</vt:lpwstr>
  </property>
</Properties>
</file>